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E-7909/2015 vom 26. Juni 2017</w:t>
      </w:r>
    </w:p>
    <w:p>
      <w:r>
        <w:t>Bundesverwaltungsgericht, 2017-06-26, DE</w:t>
      </w:r>
    </w:p>
    <w:p>
      <w:r>
        <w:rPr>
          <w:b/>
        </w:rPr>
        <w:t xml:space="preserve">Quelle: </w:t>
      </w:r>
      <w:r>
        <w:t>https://mcp.opencaselaw.ch/entscheid/bvger_E-7909_2015</w:t>
      </w:r>
    </w:p>
    <w:p>
      <w:r>
        <w:t>FR: TAF E-7909/2015 du 26 juin 2017</w:t>
      </w:r>
    </w:p>
    <w:p>
      <w:r>
        <w:t>IT: TAF E-7909/2015 del 26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sowie Art. 52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w:t>
      </w:r>
    </w:p>
    <w:p>
      <w:r>
        <w:t>Die Beschwerde ist im Verfahren einzelrichterlicher Zuständigkeit mit Zustimmung eines zweiten Richters oder einer zweiten Richterin zu behandeln, da sie sich - wie nachfolgend aufgezeigt - im Urteilszeitpunkt als offensichtlich begründet erweist (Art. 111 Bst. e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2015/41 E. 3.1).</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des Beschwerdeführers mit der EURODAC-Datenbank ergab, dass dieser am (...) August 2015 in Ungarn erkennungsdienstlich erfasst wurde und am (...) August 2015 ein Asylgesuch in diesem Land eingereicht hatte. Das SEM ersuchte deshalb die ungarischen Behörden am 28. Oktober 2015 um Wiederaufnahme des Beschwerdeführers gestützt auf Art. 18 Abs. 1 Bst. b Dublin-III-VO.</w:t>
      </w:r>
    </w:p>
    <w:p>
      <w:r>
        <w:rPr>
          <w:b/>
        </w:rPr>
        <w:t>E. 5.2</w:t>
      </w:r>
    </w:p>
    <w:p>
      <w:r>
        <w:t>Die ungarischen Behörden liessen das Übernahmeersuchen innert der in Art. 25 Abs. 1 Dublin-III-VO vorgesehenen Frist unbeantwortet, womit sie die Zuständigkeit Ungarns implizit anerkannten (Art. 25 Abs. 2 Dublin-III-VO).</w:t>
      </w:r>
    </w:p>
    <w:p>
      <w:r>
        <w:rPr>
          <w:b/>
        </w:rPr>
        <w:t>E. 5.3</w:t>
      </w:r>
    </w:p>
    <w:p>
      <w:r>
        <w:t>Der Einwand des Beschwerdeführers, er habe in Ungarn kein Asylgesuch gestellt, entspricht nicht dem Eintrag in der EURODAC-Datenbank und ist im Übrigen bezüglich der Zuständigkeitsfrage unbehelflich, da bereits seine von den ungarischen Behörden registrierte Einreise in das Hoheitsgebiet der Dublin-Staaten am 21. August 2015 die Zuständigkeit Ungarns für die Durchführung des Asyl- und Wegweisungsverfahrens begründet (Art. 13 Abs. 1 Dublin-III-VO).</w:t>
      </w:r>
    </w:p>
    <w:p>
      <w:r>
        <w:rPr>
          <w:b/>
        </w:rPr>
        <w:t>E. 5.4</w:t>
      </w:r>
    </w:p>
    <w:p>
      <w:r>
        <w:t>Die grundsätzliche Zuständigkeit Ungarns wäre somit gegeben.</w:t>
      </w:r>
    </w:p>
    <w:p>
      <w:r>
        <w:rPr>
          <w:b/>
        </w:rPr>
        <w:t>E. 6.1</w:t>
      </w:r>
    </w:p>
    <w:p>
      <w:r>
        <w:t>Im Lichte von Art. 3 Abs. 2 Dublin-III-VO ist zu prüfen, ob es wesentliche Gründe für die Annahme gibt, das Asylverfahren und die Aufnahmebedingungen für Asylsuchende in Ungarn würden systemische Schwachstellen aufweisen, die eine Gefahr einer unmenschlichen oder entwürdigenden Behandlung im Sinne des Artikels 4 der EU-Grundrechtecharta mit sich bringen würden.</w:t>
      </w:r>
    </w:p>
    <w:p>
      <w:r>
        <w:rPr>
          <w:b/>
        </w:rPr>
        <w:t>E. 6.2</w:t>
      </w:r>
    </w:p>
    <w:p>
      <w:r>
        <w:t>Das Bundesverwaltungsgericht hat im Urteil D-7853/2015 vom 31. Mai 2017 (vorgesehen zur Publikation als Referenzurteil) eingehend die Entwicklung der Situation für Asylsuchende in Ungarn, insbesondere für jene, die in Anwendung der Dublin-III-VO nach Ungarn überstellt werden, analysiert, unter Berücksichtigung des bedeutenden Migrationsstroms, welchen das Land im Sommer 2015 zu gewärtigen hatte. Es hat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Es hat festgestellt, dass die Umsetzung dieses Aktes, welcher rückwirkend auf sämtliche laufenden Asylverfahren anwendbar ist und eine wesentliche Verschärfung der ungarischen Gesetzgebung mit sich bringt, zahlreiche Unsicherheiten und Fragen nach sich zieht. Es könne daher namentlich nicht mit Sicherheit ermittelt werden, ob Asylsuchende, die nach Ungarn überstellt werden, als nicht aufenthaltsberechtigte Personen angesehen und deshalb in sogenannte "Prätransit"-Zonen abgeschoben werden, oder ob sie als asylsuchende Personen betrachtet werden, deren Gesuche in den Transitzonen zu behandeln sind. Angesichts der zahlreichen Unsicherheiten, die diese neue Gesetzesänderung hinsichtlich des Verfahrenszugangs und der Aufnahmebedingungen mit sich gebracht hat, sei es dem Bundesverwaltungsgericht gemäss dem derzeitigen Stand der Dinge nicht möglich, das Vorliegen systemischer Schwachstellen im Sinne von Art. 3 Abs. 2 der Dublin-III-Verordnung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Staatssekretariat für Migration zurückgewiesen. Es obliege der erstinstanzlichen Behörde, sämtliche Sachverhaltselemente zusammenzutragen, die zur Beurteilung dieser wesentlichen Fragen erforderlich seien, und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Erwägung 13 des Urteils).</w:t>
      </w:r>
    </w:p>
    <w:p>
      <w:r>
        <w:rPr>
          <w:b/>
        </w:rPr>
        <w:t>E. 6.3</w:t>
      </w:r>
    </w:p>
    <w:p>
      <w:r>
        <w:t>Mit derselben Begründung, wie sie vorstehend dargelegt wurde, ist es dem Gericht auch vorliegend nicht möglich, die Vorbringen in der Beschwerde vom 4. Dezember 2015, soweit Frage der Zulässigkeit einer Überstellung nach Ungarn betreffend, zu beurteilen. Die angefochtene Verfügung ist folglich aufzuheben und die Sache zur vollständigen Sachverhaltsfeststellung sowie zu neuer Entscheidung an die Vorinstanz zurückzuweisen. Somit erübrigt sich eine weitergehende Auseinandersetzung mit den einzelnen Parteivorbringen.</w:t>
      </w:r>
    </w:p>
    <w:p>
      <w:r>
        <w:rPr>
          <w:b/>
        </w:rPr>
        <w:t>E. 7</w:t>
      </w:r>
    </w:p>
    <w:p>
      <w:r>
        <w:t>Nach dem Gesagten ist die Beschwerde gutzuheissen, soweit die Aufhebung der vorinstanzlichen Verfügung und die Rückweisung an die Vor-instanz beantragt wurden.</w:t>
      </w:r>
    </w:p>
    <w:p>
      <w:r>
        <w:rPr>
          <w:b/>
        </w:rPr>
        <w:t>E. 8.1</w:t>
      </w:r>
    </w:p>
    <w:p>
      <w:r>
        <w:t>Bei diesem Ausgang des Verfahrens sind keine Kosten zu erheben (Art. 63 Abs. 1 und 2 VwVG).</w:t>
      </w:r>
    </w:p>
    <w:p>
      <w:r>
        <w:rPr>
          <w:b/>
        </w:rPr>
        <w:t>E. 8.2</w:t>
      </w:r>
    </w:p>
    <w:p>
      <w:r>
        <w:t>Nachdem der Beschwerdeführer mit seinem Begehren um Aufhebung der angefochtenen Verfügung durchgedrungen ist, ist ihm zulasten der Vor-instanz eine Parteientschädigung für die ihm notwendigerweise erwachsenen Kosten zuzusprechen (Art. 64 Abs. 1 VwVG; Art. 7 ff. des Reglements über die Kosten und Entschädigungen vor dem Bundesverwaltungsgericht vom 21. Februar 2008 [VGKE, SR 173.320.2]). Der Rechtsvertreter hat keine Kostennote zu den Akten gereicht, weshalb der notwendige Vertretungsaufwand von Amtes wegen aufgrund der Akten festzusetzen ist (Art. 14 Abs. 2 Satz 2 VGKE). Die Parteientschädigung ist (unter Berücksichtigung der massgebenden Bemessungsfaktoren, vgl. Art. 9-13 VGKE) auf insgesamt Fr. 800.- (inkl. Auslagen)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