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E-7906/2024 vom 12. November 2024</w:t>
      </w:r>
    </w:p>
    <w:p>
      <w:r>
        <w:t>Bundesverwaltungsgericht, 2024-11-12, FR</w:t>
      </w:r>
    </w:p>
    <w:p>
      <w:r>
        <w:rPr>
          <w:b/>
        </w:rPr>
        <w:t xml:space="preserve">Quelle: </w:t>
      </w:r>
      <w:r>
        <w:t>https://mcp.opencaselaw.ch/entscheid/bvger_E-7906_2024_d20241112</w:t>
      </w:r>
    </w:p>
    <w:p>
      <w:r>
        <w:t>FR: TAF E-7906/2024 du 12 novembre 2024</w:t>
      </w:r>
    </w:p>
    <w:p>
      <w:r>
        <w:t>IT: TAF E-7906/2024 del 12 novembre 2024</w:t>
      </w:r>
    </w:p>
    <w:p>
      <w:pPr>
        <w:pStyle w:val="Heading2"/>
      </w:pPr>
      <w:r>
        <w:t>Regeste</w:t>
      </w:r>
    </w:p>
    <w:p>
      <w:r>
        <w:t>Asile et renvoi | Asile et renvoi; décision du SEM du 12 novembre 2024</w:t>
      </w:r>
    </w:p>
    <w:p>
      <w:pPr>
        <w:pStyle w:val="Heading2"/>
      </w:pPr>
      <w:r>
        <w:t>Erwägungen</w:t>
      </w:r>
    </w:p>
    <w:p>
      <w:r>
        <w:rPr>
          <w:b/>
        </w:rPr>
        <w:t>E. 11</w:t>
      </w:r>
    </w:p>
    <w:p>
      <w:r>
        <w:t>août 1999 (OA 1, RS 142.311) n'étant réalisée, en l'absence notamment d'un droit des recourants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un sérieux préjudice au sens de l’art. 3 LAsi (cf. supra), que, pour les mêmes raisons, ils n’ont pas démontré à satisfaction de droit qu'en cas d'exécution du renvoi dans leur pays, il existerait pour eux un risque réel, fondé sur des motifs sérieux et avérés, d'être victimes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le SEM a considéré que la Turquie n’était pas en proie sur l’ensemble de son territoire à une guerre, une guerre civile ou une situation de violence généralisée, qu’il a estimé qu’il n’y avait pas non plus de facteur individuel de mise en danger concrète des recourants au sens de l’art. 83 al. 4 LEI,</w:t>
      </w:r>
    </w:p>
    <w:p>
      <w:r>
        <w:t>E-7906/2024 Page 11 qu’il a indiqué, en substance, que les problèmes de santé de B._______ n’étaient pas graves au sens de la jurisprudence (cf. ATAF 2011/50 consid. 8.3 ; voir aussi ATAF 2014/26 consid. 7.3 - 7.10), qu’il a ajouté que B._______ pourrait comme par le passé bénéficier en Turquie des soins médicaux dont elle avait besoin, qu’enfin, il a relevé que la recourante bénéficiait d’un solide cercle familial, y compris son époux, à même de la soutenir à son retour en Turquie avec ses enfants ainsi qu’avec B._______ et d’une solide formation professionnelle en tant que titulaire d’un (…), autant d’atouts à sa réinstallation sur place, que les arguments du SEM concernant l’exigibilité de l’exécution du renvoi des recourants sont demeurés incontestés, que le Tribunal les fait siens et renvoie pour le surplus en ce qui les concerne aux considérants de la décision attaquée (cf. chap. III ch. 2 p. 8 s.), suffisamment motivée, que l’exigibilité de l’exécution du renvoi au sens de l’art. 83 al. 4 LEI a contrario doit dès lors être également confirmée, que l'exécution du renvoi est enfin possible (cf. art. 83 al. 2 LEI a contrario), les recourants étant en possession de documents suffisants pour rentrer dans leur pays ou, à tout le moins, en mesure d'entreprendre toute démarche nécessaire auprès de la représentation de leur pays d'origine en vue de l'obtention de documents de voyage leur permettant de quitter la Suisse (cf. art. 8 al. 4 LAsi et ATAF 2008/34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w:t>
      </w:r>
    </w:p>
    <w:p>
      <w:r>
        <w:t>E-7906/2024 Page 12 qu'il est dès lors renoncé à un échange d'écritures, le présent arrêt n'étant motivé que sommairement (cf. art. 111a al. 1 et al. 2 LAsi), que, vu l'issue de la cause, il y a lieu de mettre les frais de procédure, d’un montant de 750 francs, à la charge des recourants, conformément aux art. 63 al. 1 PA et art. 2 et 3 let. a du règlement du 21 février 2008 concernant les frais, dépens et indemnités fixés par le Tribunal administratif fédéral (FITAF, RS 173.320.2), que ce montant est entièrement couvert par l'avance de frais du même montant, versée le 28 janvier 2025,</w:t>
      </w:r>
    </w:p>
    <w:p>
      <w:r>
        <w:t>(dispositif : page suivante)</w:t>
      </w:r>
    </w:p>
    <w:p>
      <w:r>
        <w:t>E-7906/2024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