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E-7905/2016 vom 10. Januar 2017</w:t>
      </w:r>
    </w:p>
    <w:p>
      <w:r>
        <w:t>Bundesverwaltungsgericht, 2017-01-10, DE</w:t>
      </w:r>
    </w:p>
    <w:p>
      <w:r>
        <w:rPr>
          <w:b/>
        </w:rPr>
        <w:t xml:space="preserve">Quelle: </w:t>
      </w:r>
      <w:r>
        <w:t>https://mcp.opencaselaw.ch/entscheid/bvger_E-7905_2016</w:t>
      </w:r>
    </w:p>
    <w:p>
      <w:r>
        <w:t>FR: TAF E-7905/2016 du 10 janvier 2017</w:t>
      </w:r>
    </w:p>
    <w:p>
      <w:r>
        <w:t>IT: TAF E-7905/2016 del 10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(...)-jährige und damit unmündige, aber urteils- und prozessfähige Beschwerdeführer (vgl. hierzu BVGE 2011/39 E. 4.3.2)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 Beschwerdeführer die Flüchtlingseigenschaft nach Art. 3 AsylG nicht erfülle. So seien die Schilderungen seiner angeblichen Anhaltung und Kontrolle durch die Taliban - das Kernasylvorbringen - trotz konkreter Nachfragen überwiegend oberflächlich, allgemein, stereotyp, ausweichend, einsilbig, undifferenziert, undetailliert, wenig erlebnisecht und weitgehend substanzarm ausgefallen. Diese Glaubhaftigkeitsmängel seien trotz des geltend gemachten Schockzustandes nicht nachvollziehbar. Im Weiteren seien die Schilderungen dazu, wie er vom Polizeiposten nach Ghazni gelangt sei, welche Interaktion zwischen ihm und der Polizei stattgefunden und welche Rolle letztere dabei gespielt haben soll, offensichtlich widersprüchlich ausgefallen. Gemäss BzP sei er nämlich von der Polizei nach Ghazni geschickt worden, wogegen er gemäss Anhörung auf sein eigenes Begehren von der Polizei dorthin gefahren worden sei. Den abgegebenen angeblichen Drohbriefen komme praxisgemäss kein Beweiswert zu, da deren Echtheit nicht überprüft werden könne und solche Dokumente leicht fälschbar und erfahrungsgemäss in Afghanistan leicht käuflich erwerbbar seien; die Beweismittel seien daher untauglich. Die Asylvorbringen erwiesen sich damit insgesamt und mit überwiegender Wahrscheinlichkeit als unglaubhaft. Es erübrige sich, auf weitere Unglaubhaftigkeitselemente, insbesondere betreffend die angebliche Interaktion mit den Taliban, vertieft einzugehen und eine Prüfung der Vorbringen auf ihre Asylrelevanz hin vorzunehmen.</w:t>
      </w:r>
    </w:p>
    <w:p>
      <w:r>
        <w:rPr>
          <w:b/>
        </w:rPr>
        <w:t>E. 5.2</w:t>
      </w:r>
    </w:p>
    <w:p>
      <w:r>
        <w:t>Auf Beschwerdestufe macht der Beschwerdeführer geltend, er könne sich aufgrund seines damaligen Schockzustandes und der posttraumatischen Nachwirkung, der ihm angelegten Augenbinde und der ihm nicht verständlichen paschtunischen Sprache seiner Widersacher nicht mehr an alle Einzelheiten seiner Entführung durch die Taliban erinnern. Dennoch habe er dieses Ereignis entgegen der vorinstanzlichen Ansicht durchaus detailliert und erlebnisgeprägt zu schildern vermocht. Zu beachten seien zudem die in der Anhörung wiederholt aufgetretenen übersetzungsbedingten Missverständnisse. Die Hilfswerksvertretung habe sowohl seinen Schockzustand, die Indikation einer psychiatrischen Traumaabklärung und die übersetzungsbedingten Missverständnisse schriftlich deponiert. Die Hinweise seien vom SEM nicht beachtet worden und die Gesamtwürdigung seiner Vorbringen habe es mithin nicht pflichtgemäss vorgenommen. Sodann sei festzustellen, dass die Vorinstanz zwar von mehreren Widersprüchen spreche, konkret aber nur einen nenne (nach Ghazni geschickt bzw. gebracht worden), der zudem angesichts der betreffenden Protokollpassagen vermeintlicher Art sei. Ferner dürfe den von ihm eingereichten Beweisdokumenten nicht mit dem simplen Hinweis auf die leichte Erwerbbarkeit und Fälschbarkeit der Beweiswert abgesprochen werden. Seine Asylvorbringen seien mithin zumindest glaubhaft und im Übrigen flüchtlingsrechtlich beachtlich, da er aufgrund seiner konkreten, von den Taliban ausgehenden Bedrohungslage begründete Furcht vor ernsthaften, ethnisch und politisch motivierten Benachteiligungen habe, der Staat ihn vor dieser Verfolgung nicht zu schützen vermöge und er auch keine zumutbare inländische Aufenthaltsalternativen habe.</w:t>
      </w:r>
    </w:p>
    <w:p>
      <w:r>
        <w:rPr>
          <w:b/>
        </w:rPr>
        <w:t>E. 6.1</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 Das Bundesverwaltungsgerichts erachtet die genannten Grundsätze im Rahmen seiner über das Rügeprinzip hinausgehenden Prüfungsbefugnis von Amtes wegen vorliegend als teilweise verletzt, wie sich aus nachfolgenden Erwägungen ergibt.</w:t>
      </w:r>
    </w:p>
    <w:p>
      <w:r>
        <w:rPr>
          <w:b/>
        </w:rPr>
        <w:t>E. 6.2</w:t>
      </w:r>
    </w:p>
    <w:p>
      <w:r>
        <w:t>Vorab ist unter Bezugnahme auf die geltend gemachten Übersetzungsprobleme festzuhalten, dass solche in der Anhörung tatsächlich mehrfach aufgetreten sind. Sie reduzieren sich aber praktisch ausschliesslich auf die in der Aussprache des Beschwerdeführers gründende phonetische Ähnlichkeit der Begriffe ich/wir und mich/uns. Diese Schwierigkeit wurde sowohl vom Befrager als auch von der Dolmetscherin erkannt (vgl. vorin-stanzliche Akten z.B. A20 F136 f.). Das Augenmerk wurde in der Folge akribisch auf sämtliche diesbezüglichen Ausdrücke gelenkt und diese wurden mittels Nachfragen jeweils verifiziert, auch in der Rückübersetzung. Der über eine solide Schulbildung verfügende Beschwerdeführer hat die Protokolle nach Vornahme entsprechender Korrekturen als korrekt und vollständig befunden und zudem noch in der Anhörung bestätigt, dass die Dolmetscherin die gleiche Sprache spreche und er sie natürlich verstehe (vgl. A20 F197). Die Hilfswerksvertretung hat denn auch im Beiblatt ausdrücklich erwähnt, dass dem genannten Übersetzungsproblem Rechnung getragen worden sei. Es ist somit festzustellen, dass das Anhörungsprotokoll als solches verwertbar ist und der Hinweis auf Übersetzungsprobleme, soweit er pauschal und ohne Konkretisierung bleibt, nicht zur Erklärung oder Entkräftung von Ungereimtheiten verwendbar ist.</w:t>
      </w:r>
    </w:p>
    <w:p>
      <w:r>
        <w:rPr>
          <w:b/>
        </w:rPr>
        <w:t>E. 6.3</w:t>
      </w:r>
    </w:p>
    <w:p>
      <w:r>
        <w:t>Die vom SEM erkannte und mit verschiedenen Adjektiven umschriebene Substanzarmut und fehlende Erlebnisechtheit in der Schilderung der Anhaltung und Kontrolle durch die Taliban ist bei Betrachtung der diesbezüglichen Passagen im Anhörungsprotokoll nicht von der Hand zu weisen. Der Beschwerdeführer führt diesen Eindruck schwergewichtig auf seinen damaligen Schockzustand und die posttraumatische Nachwirkung zurück, welche auch von der Hilfswerksvertretung schriftlich festgehalten worden seien, unter "evt." Anregung einer psychiatrischen Traumaabklärung. Diese Hinweise seien vom SEM nicht beachtet worden und die Gesamtwürdigung seiner Vorbringen habe es mithin nicht pflichtgemäss vorgenommen. Das Gericht erkennt keine Veranlassung für die Durchführung einer psychiatrischen Posttraumaabklärung. Der Beschwerdeführer hat in keinem Zeitpunkt des erstinstanzlichen Verfahrens Hinweise geliefert oder erkennen lassen, wonach er posttraumatisch beeinträchtigt wäre. Fragen nach seinem Gesundheitszustand hat er vielmehr wiederholt dergestalt beantwortet, dass es ihm gut gehe und er gesundheitlich nicht beeinträchtigt sei (vgl. A1 am Ende, A5 Ziff. 8.02, A20 F6). Weder er selber noch seine Vertrauensperson haben sich bislang zur Vornahme irgendwelcher Abklärungen betreffend einer posttraumatischen Gesundheitsstörung veranlasst gesehen. Tatsache ist hingegen, dass der Beschwerdeführer einen auf das angebliche Verfolgungsereignis (Anhaltung, Kontrollierung, Entführung und Einsperrung durch Taliban) und den Zeitraum unmittelbar nach seiner Selbstbefreiung bezogenen Angst- und Schockzustand mehrmals aus eigener Initiative geltend gemacht hat (vgl. A20 F91, F93, F115, F121 und F135). Sachverhaltlich hat das SEM diesen geltend gemachten Schockzustand in der angefochtenen Verfügung erfasst und dahingehend gewürdigt, dass das in den Kernasylvorbringen festgestellte Substanzdefizit "trotz des (...) geltend gemachten Schockzustandes (...) nicht nachvollziehbar" sei (angefochtene Verfügung E. II/2.2). Damit nimmt das SEM aber gar keine Würdigung vor, sondern es stellt eine Unglaubhaftigkeitserkenntnis einem behaupteten Erklärungsargument derart gegenüber, dass letzteres nicht beachtlich sei. Eine Abwägung und Gewichtung oder gar eine Glaubhaftigkeitsprüfung betreffend des angeblichen Schockzustandes wird aber pflichtwidrigerweise nicht vorgenommen. Das SEM wäre gehalten gewesen, das Vorbringen des Schockzustandes nicht nur tatsächlich zu hören, sondern sorgfältig und ernsthaft zu prüfen und in der Entscheidfindung mittels sachgerecht anfechtbarer Entscheidbegründung zu berücksichtigen, zumal ein Schockzustand potenziell geeignet sein kann, aufgetretene Substanz- und andere Glaubhaftigkeitsdefizite entscheidwesentlich anders zu beleuchten.</w:t>
      </w:r>
    </w:p>
    <w:p>
      <w:r>
        <w:rPr>
          <w:b/>
        </w:rPr>
        <w:t>E. 6.4</w:t>
      </w:r>
    </w:p>
    <w:p>
      <w:r>
        <w:t>Der Beschwerdeführer macht im Weiteren zutreffend darauf aufmerksam, dass die Vorinstanz zwar von mehreren Widersprüchen spreche, konkret aber nur einen nenne (nach Ghazni geschickt bzw. gebracht worden). Unbesehen der Frage, ob es sich bei diesem Widerspruch unter Berücksichtigung der betreffenden Protokollpassagen tatsächlich um einen solchen handle oder er vermeintlicher Art sei, erscheint die Gewichtung dieses einzigen vom SEM angeführten Widerspruchs reichlich überdimensioniert. Zu berücksichtigen ist dabei insbesondere, dass sich die erste Aussageversion (vgl. A5 Ziff. 7.01: "Die Polizei schickte mich nach Ghazni") auf das Protokoll einer Befragung abstützt, die infolge hoher Belegung des EVZ augenfällig und erklärtermassen sehr verkürzt (insbesondere ohne Vertiefungsfragen) durchgeführt wurde (vgl. auch die Anmerkungen in den vom SEM als interne Akten bezeichneten Aktenstücken A6 und A7 sowie A20 F191). Demgegenüber hat der Beschwerdeführer in der Anhörung mehrfach und übereinstimmend erklärt, von der Polizei nach Ghazni gebracht worden zu sein. Der in der angefochtenen Verfügung erkannte Widerspruch ist daher mit der vom SEM verwendeten Argumentation nicht gegen den Beschwerdeführer verwendbar.</w:t>
      </w:r>
    </w:p>
    <w:p>
      <w:r>
        <w:rPr>
          <w:b/>
        </w:rPr>
        <w:t>E. 6.5</w:t>
      </w:r>
    </w:p>
    <w:p>
      <w:r>
        <w:t>Eine gravierende Missachtung des Anspruchs auf rechtliches Gehör ist sodann in der Abnahme und Würdigung der vom Beschwerdeführer zu den Akten gegebenen Beweismittel zu erkennen: Zwar hat das SEM die verfolgungsbedeutsamen Beweismittel (zwei Drohbriefe und eine Bestätigung) zu den Akten genommen, im Beweismittelcouvert (A21) abgelegt und auf dem dortigen Verzeichnis erfasst. In der Verfügung ist jedoch nur von den beiden Drohbriefen, nicht aber auch von der Bestätigung die Rede. Darüber hinaus liegt die ernsthafte Vermutung nahe, dass das SEM vom Inhalt der drei Beweismittel keine Kenntnis hat. Im Gegensatz zur ebenfalls abgegebenen Tazkara hat es nämlich keine Übersetzung der fremdsprachigen Beweismittel angefertigt, und abgesehen von der äusserst rudimentär erfragten Inhaltsbeschreibung in der Anhörung (vgl. A20 F15 f. und F146) liegen überhaupt keine Inhaltsangaben vor. Es ist nicht einmal erkennbar, ob es sich (insb. bei der angeblichen "Bestätigung") um behördliche oder privat verfasste Dokumente handelt. Es liegt jedoch am SEM, von Amtes wegen für die richtige und vollständige Abklärung des rechtserheblichen Sachverhaltes zu sorgen, die rechtlich relevanten Umstände abzuklären und ordnungsgemäss Beweis zu führen. Die Beweisführung der Vorinstanz lässt vorliegend aber erkennen, dass sie nicht gewillt ist, alle entscheidwesentlichen und rechtsrelevanten Beweismittel und Sachumstände zu berücksichtigen und zu prüfen. Unbesehen dessen ist die Rüge des Beschwerdeführers, wonach Beweisdokumenten nicht bereits mit dem simplen Hinweis auf die leichte Erwerbbarkeit und Fälschbarkeit der Beweiswert abgesprochen werden dürfe, berechtigt: Die Beantwortung der Frage betreffend die leichte Erwerbbarkeit und Fälschbarkeit eines Dokumentes hängt zum einen nicht unwesentlich davon ab, ob es sich um eine behördliches Dokument handelt oder nicht. Zum andern kann eine notorisch leichte Erwerbbarkeit und Fälschbarkeit eines Dokumentes zwar durchaus zu einer (mehr oder weniger grossen) Verminderung ihres Beweiswertes führen. Die Beweiswertlosigkeit kann eine solche Erkenntnis aber nicht herbeiführen und eine gegenteilige Schlussfolgerung geht denn auch nicht aus der in der angefochtenen Verfügung zitierten, behauptungsgemässen Gerichtspraxis hervor. Die gänzliche Beweiswertlosigkeit liesse sich erst aus der Feststellung ableiten, dass ein Dokument tatsächlich widerrechtlich käuflich erworben wurde, gefälscht ist oder erstelltermassen eine Gefälligkeit darstellt. Selbstredend macht auch die erklärte Unmöglichkeit einer Echtheitsprüfung ein Dokument noch nicht beweiswertlos. Im Übrigen nimmt das SEM in der angefochtenen Verfügung (dort E. II/2.4 f.) eine nicht sachgerechte Vermischung der Begriffe Beweiswert und Beweistauglichkeit vor.</w:t>
      </w:r>
    </w:p>
    <w:p>
      <w:r>
        <w:rPr>
          <w:b/>
        </w:rPr>
        <w:t>E. 6.6</w:t>
      </w:r>
    </w:p>
    <w:p>
      <w:r>
        <w:t>Soweit sich der weitere Beschwerdeinhalt mit der Frage der Asylrelevanz der erlittenen beziehungsweise befürchteten Nachteile befasst, ist angesichts des Kassationsausganges einstweilen nicht weiter darauf einzugehen.</w:t>
      </w:r>
    </w:p>
    <w:p>
      <w:r>
        <w:rPr>
          <w:b/>
        </w:rPr>
        <w:t>E. 7</w:t>
      </w:r>
    </w:p>
    <w:p>
      <w:r>
        <w:t>Zusammenfassend ist festzustellen, dass die angefochtene Verfügung mehrere, zum Teil schwerwiegende und nicht heilbare Sachverhaltsfeststellungsfehler und Bundesrechtsverletzungen aufweist (Art. 106 Abs. 1 AsylG), die zur Aufhebung der angefochtenen Verfügung führen. Die Beschwerde ist insoweit gutzuheissen und die Sache ist an die Vorinstanz zurückzuweisen. Das SEM ist dabei gehalten, den Anspruch des Beschwerdeführers auf rechtliches Gehör zu wahren, den rechtserheblichen Sachverhalt vollständig und richtig abzuklären und zu erfassen und gestützt darauf sowie unter Mitberücksichtigung des Inhalts der vorliegenden Beschwerde einen neuen Entscheid zu fällen. Es ist, auch angesichts der nach Art. 106 Abs. 1 AsylG eingeschränkten Kognition, vorliegend nicht Sache des Bundesverwaltungsgerichts, die aufgetretenen Mängel und Versäumnisse selber zu heilen und als letzte Instanz einen neuen, unter Umständen negativen Entscheid zu treffen, da der Instanzenverlust abermals eine Verletzung des Anspruchs auf rechtliches Gehörs bewirken würde (zur Frage der Heilbarkeit vgl. BVGE 2015/10 E. 7).</w:t>
      </w:r>
    </w:p>
    <w:p>
      <w:r>
        <w:rPr>
          <w:b/>
        </w:rPr>
        <w:t>E. 8.1</w:t>
      </w:r>
    </w:p>
    <w:p>
      <w:r>
        <w:t>Bei diesem Ausgang des Verfahrens sind keine Kosten zu erheben (Art. 63 Abs. 1 und 2 VwVG). Das Gesuch um Gewährung der unentgeltlichen Rechtspflege (vgl. Art. 65 Abs. 1 VwVG) inklusive Verzicht auf die Erhebung eines Kostenvorschusses wird somit hinfällig.</w:t>
      </w:r>
    </w:p>
    <w:p>
      <w:r>
        <w:rPr>
          <w:b/>
        </w:rPr>
        <w:t>E. 8.2</w:t>
      </w:r>
    </w:p>
    <w:p>
      <w:r>
        <w:t>Mit dem Direktentscheid in der Hauptsache wird ebenso das Gesuch um amtliche Beiordnung einer unentgeltlichen Rechtsvertretung nach Art. 110a Abs. 1 AsylG hinfällig.</w:t>
      </w:r>
    </w:p>
    <w:p>
      <w:r>
        <w:rPr>
          <w:b/>
        </w:rPr>
        <w:t>E. 8.3</w:t>
      </w:r>
    </w:p>
    <w:p>
      <w:r>
        <w:t>Der Beschwerdeführer hat angesichts seines Obsiegens im Kassationsantrag in Anwendung von Art. 64 VwVG und Art. 7 des Reglements vom 21. Februar 2008 über die Kosten und Entschädigungen vor dem Bundesverwaltungsgericht (VGKE, SR 173.320.2) grundsätzlich Anspruch auf eine Entschädigung für die ihm notwendigerweise erwachsenen und verhältnismässig hohen Parteikosten. Er ist jedoch auf Beschwerdestufe bislang nicht rechtsvertreten und es sind auch keine anderen verhältnismässig hohen Kosten ersichtlich, die ihm durch die Beschwerdeführung entstanden sein könnten. Somit besteht kein Anlass zur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