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E-7905/2015 vom 4. Juli 2017</w:t>
      </w:r>
    </w:p>
    <w:p>
      <w:r>
        <w:t>Bundesverwaltungsgericht, 2017-07-04, DE</w:t>
      </w:r>
    </w:p>
    <w:p>
      <w:r>
        <w:rPr>
          <w:b/>
        </w:rPr>
        <w:t xml:space="preserve">Quelle: </w:t>
      </w:r>
      <w:r>
        <w:t>https://mcp.opencaselaw.ch/entscheid/bvger_E-7905_2015</w:t>
      </w:r>
    </w:p>
    <w:p>
      <w:r>
        <w:t>FR: TAF E-7905/2015 du 4 juillet 2017</w:t>
      </w:r>
    </w:p>
    <w:p>
      <w:r>
        <w:t>IT: TAF E-7905/2015 del 4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der Beschwerdeführenden mit der Eurodac-Datenbank ergab, dass diese am 30. August 2015 in Ungarn ein Asylgesuch eingereicht hatten.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von den Beschwerdeführenden auch unbestritten blieb.</w:t>
      </w:r>
    </w:p>
    <w:p>
      <w:r>
        <w:rPr>
          <w:b/>
        </w:rPr>
        <w:t>E. 5.1</w:t>
      </w:r>
    </w:p>
    <w:p>
      <w:r>
        <w:t>Die Beschwerdeführenden bringen vor, eine Überstellung nach Ungarn verstosse wegen der drohenden Inhaftierung und der Haftbedingungen gegen Art. 5 Abs. 1 AsylG und infolgedessen gegen das Non-Refoulement Prinzip. Der Zugang zum ungarischen Asylverfahren würde ihnen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in der Beschwerde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w:t>
      </w:r>
    </w:p>
    <w:p>
      <w:r>
        <w:t>Bei diesem Ausgang des Verfahrens sind keine Kosten zu erheben (Art. 63 Abs. 1 und 2 VwVG). Der geleistete Kostenvorschuss von Fr. 600.- ist den Beschwerdeführenden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