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E-7902/2009 vom 18. Mai 2012</w:t>
      </w:r>
    </w:p>
    <w:p>
      <w:r>
        <w:t>Bundesverwaltungsgericht, 2012-05-18, DE</w:t>
      </w:r>
    </w:p>
    <w:p>
      <w:r>
        <w:rPr>
          <w:b/>
        </w:rPr>
        <w:t xml:space="preserve">Quelle: </w:t>
      </w:r>
      <w:r>
        <w:t>https://mcp.opencaselaw.ch/entscheid/bvger_E-7902_2009</w:t>
      </w:r>
    </w:p>
    <w:p>
      <w:r>
        <w:t>FR: TAF E-7902/2009 du 18 mai 2012</w:t>
      </w:r>
    </w:p>
    <w:p>
      <w:r>
        <w:t>IT: TAF E-7902/2009 del 18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(Art. 37 VGG i.V.m. Art. 50 Abs. 1 und Art. 52 VwVG). Die Beschwerdeführerin hat am Verfahren vor der Vorinstanz teilgenommen, ist durch die angefochtene Verfügung besonders berührt und hat ein schutzwürdiges Interesse an deren Aufhebung beziehungsweise Änderung. Folglich ist sie zur Einrei­chung der Beschwerde legitimiert (Art. 108 Abs. 1 AsylG, Art. 105 AsylG i.V.m. Art. 37 VGG und Art. 48 Abs. 1 sowie Art. 52 VwVG). Auf die Be­schwerde ist somit einzutreten.</w:t>
      </w:r>
    </w:p>
    <w:p>
      <w:r>
        <w:rPr>
          <w:b/>
        </w:rPr>
        <w:t>E. 1.3</w:t>
      </w:r>
    </w:p>
    <w:p>
      <w:r>
        <w:t>Das Verfahren vor dem Bundesverwaltungsgericht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Vorliegend gelangt das Bundesverwaltungsgericht nach eingehender Prüfung der Akten in Übereinstimmung mit dem BFM zum Schluss, dass es sich bei der Beschwerdeführerin um keine eritreische, sondern um eine äthiopische Staatsangehörige handelt, womit die vorgebrachten Asylgründe jeglicher Grundlage entbehren. Zur Vermeidung von Wiederholungen wird bezüglich der Begründung auf die ausführlichen Erwägungen in der angefochtenen Verfügung sowie die beiden Vernehmlassungen des BFM verwiesen. Im Übrigen ist festzuhalten, dass sich die Lage in Äthiopien heute gegenüber der Situation im Zeitpunkt der geltend gemachten Deportation der Eltern der Beschwerdeführerin nach Eritrea im Jahr 1998 derart verändert darstellt, dass die Beschwerdeführerin selbst im Falle des Glaubhaftmachens der eritreischen Abstammung und der Deportation ihrer Eltern aktuell keine Gefährdung ihrer Person daraus ableiten könnte. Aufgrund gesicherter Informationen des Bundesverwaltungsgerichts ist es seit 2002 praktisch zu keinen Ausweisungen eritreisch-stämmiger Personen von Äthiopien nach Eritrea mehr gekommen. Ferner ist von einer verbesserten Situation der aus Eritrea stammenden Ausländer in Äthiopien auf rechtlicher Ebene auszugehen, da die meisten seit 1998 eingeführten Beschränkungen wieder aufgehoben worden sind (vgl. zum Ganzen Urteil des Bundesverwaltungsgerichts E-1724/2007 vom 5. Mai 2011 mit weiteren Hinweisen). Zudem würde auch bei Annahme der Echtheit der eingereichten Geburtsurkunde der Beschwerdeführerin (im Original) sowie der Identitätskarten der Eltern (in Kopie) ihre behauptete eritreische Herkunft keine Verfolgungsmotivation seitens der äthiopischen Behörden zu begründen vermögen, da die Gefahr einer Deportation für eritreisch-stämmige Personen - wie aus obigen Ausführungen hervorgeht - grundsätzlich nicht mehr besteht.</w:t>
      </w:r>
    </w:p>
    <w:p>
      <w:r>
        <w:rPr>
          <w:b/>
        </w:rPr>
        <w:t>E. 4.2</w:t>
      </w:r>
    </w:p>
    <w:p>
      <w:r>
        <w:t>Was die Ausführungen der Beschwerdeführerin in Bezug auf die geltend gemachte Festnahme ihres Onkels betrifft, ist einzuräumen, dass die Unglaubhaftigkeitsargumentation des BFM der Aktenlage in weiten Teilen gerecht wird. Mithin ist in Übereinstimmung mit dem Bundesamt festzuhalten, dass die vorgebrachte Sachverhaltsdarstellung der Beschwerdeführerin den Anforderungen an die Glaubhaftigkeit gemäss Art. 7 AsylG nicht standzuhalten vermag. Insbesondere beinhalten die Aussagen keine lebensechte und subjektiv geprägte Wahrnehmung, weshalb kein überwiegend glaubhafter Eindruck selbst erlebter Ereignisse entsteht. Die Festnahme des Onkels wurde in den Anhörungen - selbst auf Nachfragen hin - auf lediglich oberflächliche Art ohne jegliche Realkennzeichen wiedergegeben, obschon die Beschwerdeführerin eigenen Angaben zufolge bei der Verhaftung anwesend war (vgl. A11/17 S. 10 f; A18/14 S. 8). Angesichts dieser rudimentären Schilderungen der angeblichen Festnahme ihres Onkels bestehen erhebliche Zweifel an der Richtigkeit der vorgebrachten Sachverhaltsdarstellung. Im Übrigen ist auf die Vorbringen der Beschwerdeführerin nicht weiter einzugehen, da selbst bei der Annahme, der geltend gemachte Vorfall habe sich tatsächlich ereignet, aus ihren Ausführungen nicht erschlossen werden kann, inwiefern aus der Verhaftung des Onkels eine abgeleitete Gefährdung ihrer Person seitens der äthiopischen Behörden hervorgehen soll. Nach dem Gesagten liegen keine Hinweise vor, dass die Beschwerdeführerin eine aktuelle Verfolgung in Äthiopien zu befürchten hat.</w:t>
      </w:r>
    </w:p>
    <w:p>
      <w:r>
        <w:rPr>
          <w:b/>
        </w:rPr>
        <w:t>E. 4.3</w:t>
      </w:r>
    </w:p>
    <w:p>
      <w:r>
        <w:t>Vor dem Hintergrund obiger Erwägungen ist zusammenfassend festzuhalten, dass es der Beschwerdeführerin nicht gelungen ist, die geltend gemachte eritreische Abstammung respektive Staatsangehörigkeit glaubhaft zu machen. Selbst bei Annahme der eritreischen Abstammung der Beschwerdeführerin würde freilich keine im asylrechtlichen Kontext relevante Gefährdung vorliegen, da es an einer flüchtlingsrechtlichen Motivation seitens der äthiopischen Behörden mangelt. Bezüglich der geltend gemachten Verhaftung des Onkels der Beschwerdeführerin und der hieraus abgeleiteten angeblichen Gefährdung ihrer Person sprechen überwiegende Gründe gegen die von ihr vorgetragene Sachverhaltsdarstellung, weshalb keine Anhaltspunkte auf eine Verfolgung im Sinne des Asylgesetzes bestehen. Die Vorinstanz hat folglich die Flüchtlingseigenschaft der Beschwerdeführerin zu Recht verneint und ihr Asylgesuch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 Vorliegend ist ein Wegweisungsvollzug nach Äthiopien zu prüfen, da es der Beschwerdeführerin - wie oben festgehalten wurde - nicht gelungen ist, die geltend gemachte eritreische Abstammung respektive Staatsangehörigkeit glaubhaft zu machen.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derzeit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Nach Abzug der UN-Friedenstruppen aus Eritrea im März 2008 und aus Äthiopien im August 2008 ist im heutigen Zeitpunkt nicht von einem offenen Konflikt im Grenzgebiet zwischen Äthiopien und Eritrea auszugehen, wenn auch gleichzeitig zu bemerken ist, dass eine Lösung der Grenzproblematik und eine Normalisierung zwi­schen den beiden Staaten nach wie vor nicht in Sicht ist (zur Entwicklung der Lage in Äthiopien siehe: Peter K. Meyer, Schweizerische Flüchtlingshilfe [SFH], Äthiopien, Update: Aktuelle Entwicklungen bis Juni 2009, Bern, 11. Juni 2009, S. 6 ff.; Urteile des Bundesverwaltungsgerichts E 1724/2007 vom 5. Mai 2011 und E 5432/2006 vom 13. Januar 2011).</w:t>
      </w:r>
    </w:p>
    <w:p>
      <w:r>
        <w:rPr>
          <w:b/>
        </w:rPr>
        <w:t>E. 6.3.2</w:t>
      </w:r>
    </w:p>
    <w:p>
      <w:r>
        <w:t>Nach einer Gesamtwürdigung der aktuellen Lage in Äthiopien bestehen keine konkreten Anhaltspunkte dafür, dass die Beschwerdeführerin aus individuellen Gründen wirtschaftlicher, sozialer oder gesundheitlicher Natur in eine existenzbedrohende Situation geraten würde. Sie ist eigenen Angaben zufolge in Addis Abeba geboren, wo sie ihr ganzes Leben verbracht und die Schule besucht hat. Sodann spricht sie fliessend Amharisch und besitzt passive Tigrinya-Kenntnisse. Im Weiteren hat sie nie geltend gemacht, dass ihre Lebensumstände (namentlich Gesundheit, Wohnraumversorgung, Ernährungssicherung) prekär seien. Sie wies lediglich darauf hin, dass sie in Äthiopien nicht die Möglichkeit habe, in Freiheit zu leben, ohne jedoch auf Einzelheiten einzugehen (vgl. A11/17 S.10). Zudem ist davon auszugehen, dass für die Beschwerdeführerin vor Ort nach wie vor soziale Anknüpfungspunkte bestehen. Insbesondere hat sie eigenen Angaben zufolge mehrere Jahre beim Onkel und der Tante gewohnt, weshalb sie über ein tragfähiges Beziehungsnetz verfügt und ihre Wohnsituation in Addis Abeba als gesichert gelten kann. Ferner gab sie zu Protokoll, dass sie zwar über keine beruflichen Qualifikationen verfüge und nie einer professionellen Tätigkeit nachgegangen sei - was die Chancen auf dem Arbeitsmarkt deutlich verringert -, finanzielle Unterstützung erhalte sie jedoch seitens [Geschwisterteil] aus [afrikanisches Land] (vgl. A1/10 S. 2), weswegen nicht davon auszugehen ist, dass die Beschwerdeführerin innert absehbarer Zeit in eine wirtschaftlich existenzbedrohende Lage geraten werde. Im Übrigen steht ihr die Möglichkeit offen, beim BFM Rückkehrhilfe zu beantragen, womit ihr der Aufbau einer Existenzgrundlage erleichtert werden dürfte (Art. 74 der Asylverordnung 2 vom 11. August 1999 [AsylV 2, SR 142.312]). In Anbetracht dieser Faktoren und der persönlichen Voraussetzungen der Beschwerdeführerin ist davon auszugehen, dass die soziale und wirtschaftliche Wiedereingliederung in Äthiopien gelingen wird.</w:t>
      </w:r>
    </w:p>
    <w:p>
      <w:r>
        <w:rPr>
          <w:b/>
        </w:rPr>
        <w:t>E. 6.3.3</w:t>
      </w:r>
    </w:p>
    <w:p>
      <w:r>
        <w:t>Nach dem Gesagten wäre die noch junge und gemäss Akten gesunde Beschwerdeführerin im Falle einer Rückkehr nach Äthiopien keiner konkreten Gefährdung im Sinne von Art. 83 Abs. 4 AuG ausgesetzt. Der Vollzug der Wegweisung ist im Lichte der Praxis des Bundesverwaltungsgerichts mithin als zumutbar zu bezeichnen.</w:t>
      </w:r>
    </w:p>
    <w:p>
      <w:r>
        <w:rPr>
          <w:b/>
        </w:rPr>
        <w:t>E. 6.4</w:t>
      </w:r>
    </w:p>
    <w:p>
      <w:r>
        <w:t>Ferner obliegt es der Beschwerdeführerin, sich bei der zuständigen Vertretung des Heimatstaates die für eine Rückkehr notwendigen Reisedokumente zu beschaffen (vgl. Art. 8 Abs. 4 AsylG, dazu auch BVGE 2008/34 E. 12 S. 513 - 515), weshalb der Vollzug der Wegweisung auch als möglich zu qualifizieren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der Beschwerdeführerin aufzuerlegen (Art. 63 Abs. 1 und 5 VwVG). Nachdem das in der Rechtsmitteleingabe gestellte Gesuch um Gewährung der unentgeltlichen Prozessführung mit Verfügung des Bundesverwaltungsgerichtes vom 15. Januar 2010 auf einen späteren Zeitpunkt verwiesen wurde, ist im Urteilszeitpunkt darüber zu befinden. Die Beschwerdebegehren sind im Zeitpunkt ihrer Einreichung als nicht aussichtslos zu qualifizieren. Aufgrund der Aktenlage muss die Beschwer­deführerin als bedürftig betrachtet werden, weshalb das Gesuch um Gewährung der unentgeltlichen Prozessführung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