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E-7900/2015 vom 4. Januar 2016</w:t>
      </w:r>
    </w:p>
    <w:p>
      <w:r>
        <w:t>Bundesverwaltungsgericht, 2016-01-04, DE</w:t>
      </w:r>
    </w:p>
    <w:p>
      <w:r>
        <w:rPr>
          <w:b/>
        </w:rPr>
        <w:t xml:space="preserve">Quelle: </w:t>
      </w:r>
      <w:r>
        <w:t>https://mcp.opencaselaw.ch/entscheid/bvger_E-7900_2015</w:t>
      </w:r>
    </w:p>
    <w:p>
      <w:r>
        <w:t>FR: TAF E-7900/2015 du 4 janvier 2016</w:t>
      </w:r>
    </w:p>
    <w:p>
      <w:r>
        <w:t>IT: TAF E-7900/2015 del 4 gennaio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Gegenstand des vorliegenden Verfahrens bilden die Fragen Asyl, Flüchtlingseigenschaft und Wegweisung. Der Wegweisungsvollzug ist nicht mehr zu prüfen, nachdem die Vorinstanz die vorläufige Aufnahme des Beschwerdeführers aufgrund der Unzumutbarkeit des Vollzugs angeordnet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Der Beschwerdeführer rügt eine Verletzung des rechtlichen Gehörs, da die Vorinstanz das Vorliegen einer Reflexverfolgung zu wenig abgeklärt habe. Er vermischt in seinen diesbezüglichen Beschwerdevorbringen die Rügen einer Verletzungen des rechtlichen Gehörs (Begründungspflicht), einer unvollständigen Sachverhaltsfeststellung (Verletzung des Untersuchungsgrundsatzes) sowie einer mangelhaften Beweiswürdigung.</w:t>
      </w:r>
    </w:p>
    <w:p>
      <w:r>
        <w:rPr>
          <w:b/>
        </w:rPr>
        <w:t>E. 3.2</w:t>
      </w:r>
    </w:p>
    <w:p>
      <w:r>
        <w:t>Vorliegend ist weder eine unvollständige Sachverhaltsfeststellung noch eine Verletzung des rechtlichen Gehörs ersichtlich.</w:t>
      </w:r>
    </w:p>
    <w:p>
      <w:r>
        <w:rPr>
          <w:b/>
        </w:rPr>
        <w:t>E. 3.2.1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 / Häner / Bertschi, Verwaltungsverfahren und Verwaltungsrechtspflege des Bundes, 3. Aufl. 2013, Rz. 1043).</w:t>
      </w:r>
    </w:p>
    <w:p>
      <w:r>
        <w:rPr>
          <w:b/>
        </w:rPr>
        <w:t>E. 3.2.2</w:t>
      </w:r>
    </w:p>
    <w:p>
      <w:r>
        <w:t>Der Beschwerdeführer macht geltend, die Rolle von B._______ sei nicht genügend abgeklärt worden. Diese Rüge geht fehl. Der Beschwerdeführer wurde in der Anhörung zu seinem Verhältnis zu B._______ und zu einer sich daraus resultierenden Gefährdung für ihn selbst befragt (SEM-Akten, A8/12 F12 ff.). Auch in der angefochtenen Verfügung wurde von der Vorinstanz darauf abgestellt, dass die Cousine des Vaters des Beschwerdeführers die (...) sei (vgl. angefochtene Verfügung S. 2). Dieser Sachverhalt wurde aufgrund der Aussagen des Beschwerdeführers sodann als nicht asylrelevant eingestuft. Eine unrichtige oder unvollständige Feststellung des rechtserheblichen Sachverhalts liegt nicht vor.</w:t>
      </w:r>
    </w:p>
    <w:p>
      <w:r>
        <w:rPr>
          <w:b/>
        </w:rPr>
        <w:t>E. 3.2.3</w:t>
      </w:r>
    </w:p>
    <w:p>
      <w:r>
        <w:t>Weiter bringt der Beschwerdeführer vor, die Vorinstanz habe nicht abgeklärt, in wie weit sich das Verhalten seines Bruders, der sich ebenfalls in der Schweiz befindet, auf seine Gefährdung auswirke. Der Beschwerdeführer substantiiert dieses Vorbringen jedoch mit keinem Wort. Eine Verletzung des Untersuchungsgrundsatzes ist diesbezüglich auch nicht ersichtlich.</w:t>
      </w:r>
    </w:p>
    <w:p>
      <w:r>
        <w:rPr>
          <w:b/>
        </w:rPr>
        <w:t>E. 3.2.4</w:t>
      </w:r>
    </w:p>
    <w:p>
      <w:r>
        <w:t>Inwieweit das rechtliche Gehör beziehungsweise die Begründungspflicht als dessen Teilgehalt verletzt sein sollte, substantiiert der Beschwerdeführer ebenfalls nicht. Eine Verletzung ist auch nicht ersichtlich. Eine sachgemässe Anfechtung der Verfügung ist problemlos möglich gewesen.</w:t>
      </w:r>
    </w:p>
    <w:p>
      <w:r>
        <w:rPr>
          <w:b/>
        </w:rPr>
        <w:t>E. 3.3</w:t>
      </w:r>
    </w:p>
    <w:p>
      <w:r>
        <w:t>Zusammenfassend wurde der rechtserhebliche Sachverhalt von der Vorinstanz vollständig und richtig erstellt. Eine Verletzung des rechtlichen Gehörs liegt nicht vor. Ob die Vorinstanz das Vorliegen einer asylrelevanten Verfolgung zu Unrecht verneint hat, ist Sache der Beweiswürdigung und nachfolgend zu prüfen.</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Die Vorinstanz kommt in der angefochtenen Verfügung zum Schluss, die Vorbringen des Beschwerdeführers würden den Anforderungen an die Flüchtlingseigenschaft gemäss Art. 3 AsylG nicht standhalten. Dass er Syrien wegen der zunehmenden Gewalt habe verlassen müssen, sei nicht als Verfolgung im Sinne des Asylgesetzes zu erachten. Die Entführung seines Vaters sei nicht gezielt gegen ihn gerichtet gewesen. Da er in einem von der Partei der Demokratischen Union (PYD) dominierten und von den Volksverteidigungseinheiten (YPG) geschützten Gebiet lebe, bestehe kein Anlass zur Annahme, dass er bei einem Verbleib in der Heimat in absehbarer Zukunft mit beachtlicher Wahrscheinlichkeit von staatlichen Verfolgungsmassnahmen betroffen gewesen wäre.</w:t>
      </w:r>
    </w:p>
    <w:p>
      <w:r>
        <w:rPr>
          <w:b/>
        </w:rPr>
        <w:t>E. 5.2</w:t>
      </w:r>
    </w:p>
    <w:p>
      <w:r>
        <w:t>Die Beweiswürdigung der Vorinstanz ist nicht zu beanstanden. Der Beschwerdeführer setzt sich damit nicht ansatzweise auseinander. Er zeigt nicht auf, inwiefern die angefochtene Verfügung Bundesrecht verletzen soll. Lediglich bringt er, ohne nähere Begründung, vor, es sei von einer Reflexverfolgung auszugehen.</w:t>
      </w:r>
    </w:p>
    <w:p>
      <w:r>
        <w:rPr>
          <w:b/>
        </w:rPr>
        <w:t>E. 5.2.1</w:t>
      </w:r>
    </w:p>
    <w:p>
      <w:r>
        <w:t>Eine Reflexverfolgung liegt vor, wenn sich Verfolgungsmassnahmen abgesehen von der primär betroffenen Person auch auf Familienangehörige und Verwandte erstrecken. Diese kann flüchtlingsrechtlich im Sinne von Art. 3 AsylG relevant sein, allerdings hängen die Wahrscheinlichkeit einer Reflexverfolgung und deren Intensität stark von den konkreten Umständen des Einzelfalls ab. Die Annahme einer Reflexverfolgung erfordert eine sorgfältige Prüfung im Einzelfall. Es muss also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Dieser Nachweis muss durch die entsprechende Partei erbracht werden.</w:t>
      </w:r>
    </w:p>
    <w:p>
      <w:r>
        <w:rPr>
          <w:b/>
        </w:rPr>
        <w:t>E. 5.2.2</w:t>
      </w:r>
    </w:p>
    <w:p>
      <w:r>
        <w:t>Trotz des familiären Hintergrunds vermag der Beschwerdeführer den Nachweis einer erfolgten oder künftig zu erwartenden Reflexverfolgung seitens islamischer Extremisten in seinem konkreten Fall nicht zu erbringen. Aus der angeblichen Entführung seines Vaters kann der Beschwerdeführer nicht ableiten, dass er selbst auch gefährdet ist. Weitergehend substantiiert er nicht, inwiefern seine angebliche Furcht vor Verfolgung begründet ist. Dies ist auch nicht ersichtlich, zumal es sich bei B._______ um die Cousine seines Vaters handelt (SEM-Akten, A8/12 F30) und demzufolge kein nahes Verwandtschaftsverhältnis besteht. Bestätigt wird diese Aussage dadurch, dass der Beschwerdeführer als primären Grund für seine Ausreise den Krieg in Syrien angibt (SEM-Akten, A4/11 S. 6).</w:t>
      </w:r>
    </w:p>
    <w:p>
      <w:r>
        <w:rPr>
          <w:b/>
        </w:rPr>
        <w:t>E. 5.3</w:t>
      </w:r>
    </w:p>
    <w:p>
      <w:r>
        <w:t>Der Beschwerdeführer beruft sich mit seinem Eventualbegehren, wonach er als Flüchtling anzuerkennen sei, sinngemäss auf subjektive Nachfluchtgründe. In seiner Beschwerde bringt er jedoch nichts zur Begründung von Nachfluchtgründen vor. Nachfluchtgründe sind auch nicht ersichtlich.</w:t>
      </w:r>
    </w:p>
    <w:p>
      <w:r>
        <w:rPr>
          <w:b/>
        </w:rPr>
        <w:t>E. 5.4</w:t>
      </w:r>
    </w:p>
    <w:p>
      <w:r>
        <w:t>Zusammenfassend ist festzuhalten, dass der Beschwerdeführer weder Vorfluchtgründe noch subjektive Nachfluchtgründe glaubhaft machen oder nachweisen kann. Die Vorinstanz hat sein Asylgesuch zu Recht abgelehnt.</w:t>
      </w:r>
    </w:p>
    <w:p>
      <w:r>
        <w:rPr>
          <w:b/>
        </w:rPr>
        <w:t>E. 6</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(Art. 44 AsylG; BVGE 2009/50 E. 9). Die Wegweisung ist nicht zu beanstanden.</w:t>
      </w:r>
    </w:p>
    <w:p>
      <w:r>
        <w:rPr>
          <w:b/>
        </w:rPr>
        <w:t>E. 7.1</w:t>
      </w:r>
    </w:p>
    <w:p>
      <w:r>
        <w:t>Der Beschwerdeführer beantragt die Gewährung der unentgeltlichen Prozessführung sowie die Beiordnung einer amtlichen Rechtsvertretung gemäss Art. 65 Abs. 1 VwVG i.V.m. Art. 110a AsylG. Aufgrund der vorstehenden Erwägungen ergibt sich, dass seine Begehren als aussichtslos zu gelten haben. Damit ist eine der kumulativ zu erfüllenden Voraussetzungen nicht gegeben, weshalb den Gesuchen nicht stattzugeben ist.</w:t>
      </w:r>
    </w:p>
    <w:p>
      <w:r>
        <w:rPr>
          <w:b/>
        </w:rPr>
        <w:t>E. 7.2</w:t>
      </w:r>
    </w:p>
    <w:p>
      <w:r>
        <w:t>Bei diesem Ausgang des Verfahrens sind die Kosten von Fr. 600.- (Art. 1 - 3 des Reglements vom 21. Februar 2008 über die Kosten und Entschädigungen vor dem Bundesverwaltungsgericht [VGKE], SR 173.320.2) dem Beschwerdeführer aufzuerlegen (Art. 63 Abs. 1 VwVG). Der Antrag auf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