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E-789/2021 vom 11. März 2021</w:t>
      </w:r>
    </w:p>
    <w:p>
      <w:r>
        <w:t>Bundesverwaltungsgericht, 2021-03-11, DE</w:t>
      </w:r>
    </w:p>
    <w:p>
      <w:r>
        <w:rPr>
          <w:b/>
        </w:rPr>
        <w:t xml:space="preserve">Quelle: </w:t>
      </w:r>
      <w:r>
        <w:t>https://mcp.opencaselaw.ch/entscheid/bvger_E-789_2021</w:t>
      </w:r>
    </w:p>
    <w:p>
      <w:r>
        <w:t>FR: TAF E-789/2021 du 11 mars 2021</w:t>
      </w:r>
    </w:p>
    <w:p>
      <w:r>
        <w:t>IT: TAF E-789/2021 del 11 marzo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Die Beschwerde wurde frist- und formgerecht eingereicht, weshalb unter Vorbehalt der Erwägung 1.2 darauf einzutreten ist (Art. 108 Abs. 1 AsylG i.V.m. Art. 10 COVID-19-Verordnung [SR 142.318] und Art. 52 Abs. 1 VwVG).</w:t>
      </w:r>
    </w:p>
    <w:p>
      <w:r>
        <w:rPr>
          <w:b/>
        </w:rPr>
        <w:t>E. 1.2</w:t>
      </w:r>
    </w:p>
    <w:p>
      <w:r>
        <w:t>Das Rechtsbegehren des Beschwerdeführers hinsichtlich der Unzulässigkeit seiner Versetzung in das Bundesasylzentrum E._______ ist nicht Gegenstand der angefochtenen Verfügung vom 21. Januar 2021. Auf das Rechtsbegehren ist daher nicht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2.3</w:t>
      </w:r>
    </w:p>
    <w:p>
      <w:r>
        <w:t>Die Beschwerde in Asylsachen hat von Gesetzes wegen aufschiebende Wirkung (vgl. Art. 55 Abs. 1 VwVG i.V.m. Art. 42 AsylG).</w:t>
      </w:r>
    </w:p>
    <w:p>
      <w:r>
        <w:rPr>
          <w:b/>
        </w:rPr>
        <w:t>E. 3.1</w:t>
      </w:r>
    </w:p>
    <w:p>
      <w:r>
        <w:t>Der Beschwerdeführer beantragt eine Nachfrist zur Beschwerdeergänzung, da seine Versetzung in das Bundesasylzentrum E._______ die Kontaktaufnahme des Rechtsvertreters mit ihm erschwert habe.</w:t>
      </w:r>
    </w:p>
    <w:p>
      <w:r>
        <w:rPr>
          <w:b/>
        </w:rPr>
        <w:t>E. 3.2</w:t>
      </w:r>
    </w:p>
    <w:p>
      <w:r>
        <w:t>Zur Ergänzung der Beschwerdebegründung kann auf Gesuch eine Nachfrist gewährt werden, wenn der aussergewöhnliche Umfang oder die besondere Schwierigkeit der Beschwerdesache dies erfordert und die Beschwerde ordnungsgemäss eingereicht wurde (Art. 53 VwVG). Die vorliegende Beschwerdesache weist weder einen aussergewöhnlichen Umfang noch eine besondere Schwierigkeit auf. Zudem hat er 30 Tage zur Einreichung der Beschwerde zur Verfügung gehabt. In diesem Zeitraum wäre es ihm - auch angesichts der aktuellen Situation mit der COVID 19 Pandemie - möglich und zumutbar gewesen, mit seinem Rechtsvertreter in Kontakt zu treten. Zudem ist er für die erschwerte Kontaktaufnahme selbst verantwortlich, da er unter Verletzung seiner Mitwirkungspflicht vom 15. Februar 2021 bis 25. Februar 2021 unbekannten Aufenthalts war. Es besteht demnach keine Veranlassung, eine Frist zur Einreichung einer ergänzenden Beschwerdebegründung anzusetzen.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Verfolgung des Beschwerdeführers durch den Bruder seiner Freundin sei aus persönlichen Motiven erfolgt. Er sei wegen der Fortführung der Beziehung verfolgt worden und nicht aufgrund seines ehemals christlichen Glaubens, zumal er mittlerweile zum islamischen Glauben übergetreten sei. Die befürchteten Nachteile würden in einer persönlichen Rache beziehungsweise in kriminellen Handlungen gründen, weshalb sie nicht asylrelevant seien. Die libanesischen Behörden seien gegenüber Verfolgung Dritter schutzwillig und schutzfähig. Dies zeige sich darin, dass er bei den libanesischen Behörden Anzeige habe erstatten können und Ermittlungen aufgenommen worden seien. Er habe bereits in der Vergangenheit auf das behördliche Schutzsystem zurückgreifen können, weshalb davon ausgegangen werden könne, dass er bei einer Rückkehr in seine Heimat erneut auf dieses zurückgreifen könne.</w:t>
      </w:r>
    </w:p>
    <w:p>
      <w:r>
        <w:rPr>
          <w:b/>
        </w:rPr>
        <w:t>E. 5.2</w:t>
      </w:r>
    </w:p>
    <w:p>
      <w:r>
        <w:t>Der Beschwerdeführer bringt vor, die libanesischen Behörden hätten seine Anzeigen zwar entgegengenommen und Ermittlungen gegen den Bruder seiner Freundin aufgenommen, jedoch hätten sie ihn mehrere Jahre lang nicht vor dessen Übergriffen schützen können. Obwohl er im selben Quartier umgezogen und seine Arbeitsstelle gewechselt habe, habe der Bruder ihn weiterhin bedroht und versucht umzubringen. Das Motiv hinter den Angriffen liege in seiner ursprünglichen Zugehörigkeit zur christlichen Religion. Die Vorinstanz habe es unterlassen, die Schutzfähigkeit der libanesischen Behörden auf den vorliegenden Einzelfall hin zu prüfen. Er habe eine begründete Furcht vor künftiger Verfolgung, wenn er in sein Heimatland zurückgeschafft werde. Der Einfluss des Bruders erstrecke sich über den gesamten Libanon, weshalb eine innerstaatliche Fluchtalternative nicht möglich sei. Die Schutzfähigkeit der libanesischen Behörden habe sich in der Zwischenzeit nicht verbessert, zumal der Libanon seit der Explosion im Hafen von Beirut am 4. August 2020 über keine Regierung verfüge. Angesichts der Corona-Pandemie sei im Libanon von einer medizinischen Notlage auszugehen. Der Wegweisungsvollzug sei somit unzulässig und unzumutbar, weshalb er vorläufig aufzunehmen sei.</w:t>
      </w:r>
    </w:p>
    <w:p>
      <w:r>
        <w:rPr>
          <w:b/>
        </w:rPr>
        <w:t>E. 6.1</w:t>
      </w:r>
    </w:p>
    <w:p>
      <w:r>
        <w:t>Die Vorinstanz ist in ihren Erwägungen zur zutreffenden Erkenntnis gelangt, die Vorbringen des Beschwerdeführers seien zwar glaubhaft, jedoch würden sie den Anforderungen an die Asylrelevanz nicht genügen. Er macht von Privatpersonen ausgehende Verfolgungsmassnahmen geltend. Übergriffe von privaten Dritten sind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2008/4 E. 5.2). Der Libanon ist zwar von politischen und religiösen Spannungen geprägt, das Land verfügt aber über ein pluralistisches Parteiensystem, eine demokratisch gewählte Regierung und über ein funktionierendes Polizei- und Justizsystem (Urteil des BVGer E-2118/2018 vom 10. Juni 2020 E. 6.1). Daran ändert auch die Explosion im Hafen von Beirut vom 4. August 2020 nichts. Nachdem der Ministerpräsident Hassan Diab nach der Explosion im August 2020 zurückgetreten ist, wurde der frühere libanesische Ministerpräsident Saad Hariri am 22. Oktober 2020 erneut zum Regierungschef ernannt (vgl. https://www.nzz.ch/international/explosion-in-beirut-was-wir-wissen-und-was-nicht-ld.156979?reduced=true, abgerufen am 04.03.2021). Der Beschwerdeführer konnte die Vorfälle bei den libanesischen Behörden zur Anzeige bringen. Gegen den Bruder seiner Freundin, welcher gemäss Aussagen des Beschwerdeführers bereits seit ungefähr dem Jahr 2010 von den libanesischen Behörden wegen anderer Verbrechen gesucht werde, wurden Ermittlungen aufgenommen. Alleine der Umstand, dass eine strafrechtlich gesuchte Person noch nicht gefasst werden konnte, stellt keinen Hinweis für die Schutzunfähigkeit der Behörden dar. Es ist ferner davon auszugehen, dass sich die libanesischen Ordnungs- und Sicherheitsdienste auch künftig, nach seiner Rückkehr in den Heimatstaat, ihren Möglichkeiten entsprechend für den Schutz des Beschwerdeführers einsetzen.</w:t>
      </w:r>
    </w:p>
    <w:p>
      <w:r>
        <w:rPr>
          <w:b/>
        </w:rPr>
        <w:t>E. 6.2</w:t>
      </w:r>
    </w:p>
    <w:p>
      <w:r>
        <w:t>Angesichts dieser Sachlage ergibt sich, dass die Vorbringen des Beschwerdeführers nicht asylrelevant sind. Die Vorinstanz hat die Flüchtlingseigenschaft des Beschwerdeführers zu Recht verneint und sein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allgemeine Menschenrechtssituation im Libanon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im Libanon ist landesweit nicht durch Krieg, Bürgerkrieg oder eine Situation allgemeiner Gewalt gekennzeichnet (Urteil des BVGer E-2118/2018 vom 10. Juni 2020 E. 9.4.1). Sodann lassen weder die allgemeine Lage im Libanon noch individuelle Gründe auf eine konkrete Gefährdung des Beschwerdeführers in seinem Heimatland schliessen. Der junge Beschwerdeführer hat die Schule bis zur sechsten Klasse der Sekundarschule besucht und arbeitete danach als Maler, Elektriker, Bäcker und Pizzaiolo. Bis zu seiner Ausreise lebte er mit seinen Pflegeeltern zusammen und verfügt somit über ein tragfähiges Beziehungsnetz, das ihn bei der Wiedereingliederung unterstützen könnte. Er wohnte mietfrei respektive bewohnte sein eigenes Haus, weshalb von einer gesicherten Wohnsituation auszugehen ist. Gemäss den eingereichten Arztberichten hat der Beschwerdeführer eine Fraktur am Finger, eine Prellung am Oberschenkel, eine Schürfwunde am Knie, eine leichte Schwellung der Wange sowie eine leichte Schleimhautverletzung. Seine Beschwerden werden medikamentös behandelt und er erhielt eine Fixation für den Finger. Die medizinische Versorgung seiner Fraktur am Fuss war bereits in seinem Heimatland gewährleistet, da er sich diese vor seiner Ausreise zugezogen hat. Seine gesundheitlichen Probleme stehen einem Wegweisungsvollzug nicht entgegen. Angesichts seiner geringfügigen gesundheitlichen Beschwerden ist auch unter Berücksichtigung der allenfalls erschwerten medizinischen Versorgung aufgrund der Corona-Pandemie davon auszugehen, dass im Libanon die bestehenden medizinischen Strukturen für eine allfällige Weiterbehandlung, falls nötig, gewährleistet sind (vgl. Urteil des BVGer E-2959/2019 vom 23. Juli 2019 E. 5.4.3). Der Vollzug erweist sich deshalb auch in individueller Hinsicht als zumutbar.</w:t>
      </w:r>
    </w:p>
    <w:p>
      <w:r>
        <w:rPr>
          <w:b/>
        </w:rPr>
        <w:t>E. 8.4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Rechtsbegehren erweisen sich als aussichtslos, weshalb die Gesuche um Gewährung der unentgeltlichen Prozessführung und Beiordnung einer amtlichen Rechtsbeiständin ungeachtet einer allfälligen prozessualen Bedürftigkeit abzuweisen sind (Art. 65 Abs. 1 VwVG; Art. 102m AsylG).</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