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E-7896/2015 vom 23. Juni 2016</w:t>
      </w:r>
    </w:p>
    <w:p>
      <w:r>
        <w:t>Bundesverwaltungsgericht, 2016-06-23, DE</w:t>
      </w:r>
    </w:p>
    <w:p>
      <w:r>
        <w:rPr>
          <w:b/>
        </w:rPr>
        <w:t xml:space="preserve">Quelle: </w:t>
      </w:r>
      <w:r>
        <w:t>https://mcp.opencaselaw.ch/entscheid/bvger_E-7896_2015</w:t>
      </w:r>
    </w:p>
    <w:p>
      <w:r>
        <w:t>FR: TAF E-7896/2015 du 23 juin 2016</w:t>
      </w:r>
    </w:p>
    <w:p>
      <w:r>
        <w:t>IT: TAF E-7896/2015 del 23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mithin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 Wie bereits im Urteil E-4487/2015 vom 12. Oktober 2015 E. 4 erörtert, ist die grundsätzliche Zuständigkeit Italiens vorliegend gegeben.</w:t>
      </w:r>
    </w:p>
    <w:p>
      <w:r>
        <w:rPr>
          <w:b/>
        </w:rPr>
        <w:t>E. 5.1</w:t>
      </w:r>
    </w:p>
    <w:p>
      <w:r>
        <w:t>Wie in Bst. G dargelegt, wies das Bundesverwaltungsgericht das SEM im Urteil E-4487/2015 vom 12. Oktober 2015 an, in einem ersten Schritt zu prüfen, ob aufgrund der Vergewaltigung der Beschwerdeführerin und der daraus möglicherweise resultierenden Probleme - unter anderem im Verhältnis zu den daraus entstandenen Kindern - die Ausübung der Souveränitätsklausel aus humanitären Gründen angezeigt gewesen wäre (E. 5), und erst bei Verneinung dieser Frage und mithin in einem zweiten Schritt die im Urteil des EGMR Tarakhel gegen die Schweiz geforderten Garantien bei den italienischen Behörden einzuholen (E. 6).</w:t>
      </w:r>
    </w:p>
    <w:p>
      <w:r>
        <w:rPr>
          <w:b/>
        </w:rPr>
        <w:t>E. 5.2</w:t>
      </w:r>
    </w:p>
    <w:p>
      <w:r>
        <w:t>Die gemäss dem Urteil des EGMR Tarakhel gegen die Schweiz geforderten Garantien der italienischen Behörden liegen nun vor (vgl. in diesem Zusammenhang auch den als Referenzurteil publizierten Entscheid D-6358/2015 vom 7. April 2016). Auch wurde der Entscheid des SEM bezüglich der Zulässigkeit des Wegweisungsvollzugs nach Italien in der Verfügung vom 25. November 2015 begründet, wobei den Akten tatsächlich nicht zu entnehmen ist, wer die italienischen Behörden über die Geburt der Zwillinge der Beschwerdeführerin in Kenntnis gesetzt hat.</w:t>
      </w:r>
    </w:p>
    <w:p>
      <w:r>
        <w:rPr>
          <w:b/>
        </w:rPr>
        <w:t>E. 5.3</w:t>
      </w:r>
    </w:p>
    <w:p>
      <w:r>
        <w:t>Indes kam das SEM der Anweisung des Gerichts, in Ausübung seines pflichtgemässen Ermessens in einem ersten Schritt zu prüfen, ob ein Selbsteintritt aus humanitären Gründen angezeigt gewesen wäre, nicht nach. Wie im Urteil E-4487/2015 vom 12. Oktober 2015 mit Verweis auf BVGE 2015/9 dargelegt, muss das SEM das Ermessen, das ihm bei der Anwendung der Souveränitätsklausel aus humanitären Gründen zukommt, gesetzeskonform ausüben. Dazu muss es den Sachverhalt zunächst vollständig ermitteln und jegliche relevanten Umstände abklären. Ferner hat es seinen Entscheid auf zulässige Kriterien abzustützen, welche transparent, objektiv sowie nachvollziehbar sein müssen. Zudem müssen aus der Begründung der Verfügung die hinter dem Entscheid für respektive gegen die Anwendung der Souveränitätsklausel aus humanitären Gründen stehenden, massgebenden Überlegungen, von denen sich das SEM leiten liess, hervorgehen (vgl. BVGE 2015/9 E. 8). Während der Sachverhalt vorliegend als erstellt angesehen werden kann, geht aus der Verfügung vom 25. November 2015 nicht klar hervor, auf welche Kriterien sich das SEM beim Entscheid über die Anwendung der Souveränitätsklausel abgestützt hat. Genauso wenig lässt sich der Verfügung entnehmen, welche Motive es dazu bewogen haben, im vorliegenden Fall von einem humanitären Selbsteintritt abzusehen, das heisst, welche Gründe überhaupt in den Entscheidungsprozess eingeflossen sind und letztendlich für den gezogenen Schluss ausschlaggebend waren. Auch der Vernehmlassung vom 19. Februar 2016 lassen sich entsprechende Erwägungen nicht entnehmen. So hat das Gericht bereits im Urteil E-4487/2015 E. 5.3 ausgeführt, dass das SEM mit seiner in der Verfügung vom 25. November 2015 erneut verwendeten Formulierung "in Würdigung der Aktenlage liegen keine Gründe vor, die einen Selbsteintritt der Schweiz rechtfertigten" (vgl. S. 2) seiner Pflicht zur Ermessensausübung beim Entscheid über die Anwendung der Souveränitätsklausel nicht nachkommt. Ebenso wenig vermag die unreflektierte Wiedergabe der Tatsachen am Schluss der Verfügung (vgl. S. 5) - dass es sich bei der Beschwerdeführerin um eine alleinstehende Witwe und Analphabetin handelt, welche [mehrere] Kinder im Heimatland hat zurücklassen müssen und auf der Flucht von einem Schlepper vergewaltigt wurde, weshalb sie mit den in der Schweiz geborenen Zwillingen schwanger wurde - dem Erfordernis einer transparenten Motivation im Sinne von BVGE 2015/9 gerecht zu werden. Der Umstand, dass die Beschwerdeführerin und ihre Kinder in Italien in einer kindergerechten Unterbringungsstruktur und unter Wahrung der Familieneinheit aufgenommen werden, kann zwar durchaus als Grund gegen einen Selbsteintritt der Schweiz in den Entscheid des SEM einfliessen. Es entbindet die Vorinstanz aber angesichts der klaren Anweisungen im Urteil E 4487/2015 nicht davon, unter Einbezug aller wesentlichen Aspekte des Einzelfalls - vorliegend insbesondere die Vergewaltigung der Beschwerdeführerin und die allenfalls damit einhergehenden Schwierigkeiten sowie die aktuelle Lage in Italien - begründet darzulegen, weshalb es einen Selbsteintritt nicht für gerechtfertigt erachtet.</w:t>
      </w:r>
    </w:p>
    <w:p>
      <w:r>
        <w:rPr>
          <w:b/>
        </w:rPr>
        <w:t>E. 5.4</w:t>
      </w:r>
    </w:p>
    <w:p>
      <w:r>
        <w:t>Nach dem Gesagten ist das SEM seiner Pflicht zur Ermessenausübung erneut nicht nachgekommen und hat mithin sein Ermessen abermals unterschritten. Da das Bundesverwaltungsgericht aufgrund der Kognitionsbeschränkung infolge der Aufhebung von Art. 106 Abs. 1 Bst. c AsylG keinen Ermessensentscheid anstelle der Vorinstanz treffen kann und es sich bei der Ermessensunterschreitung um eine Rechtsverletzung handelt (vgl. BGE 132 V 393 E. 3.3), ist die Verfügung vom 25. November 2015 aufzuheben und die Sache erneut zur umfassenden Prüfung der Anwendung der Souveränitätsklausel aus humanitären Gründen - in Ausübung des gesetzeskonformen Ermessens - an die Vorinstanz zurückzuweisen.</w:t>
      </w:r>
    </w:p>
    <w:p>
      <w:r>
        <w:rPr>
          <w:b/>
        </w:rPr>
        <w:t>E. 6</w:t>
      </w:r>
    </w:p>
    <w:p>
      <w:r>
        <w:t>Bei diesem Ausgang des Verfahrens sind keine Verfahrenskosten zu erheben (Art. 63 Abs. 1 und 2 VwVG). Den Beschwerdeführenden ist angesichts des Obsiegens im Beschwerdeverfahren in Anwendung von Art. 64 Abs. 1 VwVG eine Parteientschädigung für ihnen erwachsene notwendige Vertretungskosten zuzusprechen (vgl. Art. 7 des Reglements vom 21. Februar 2008 über die Kosten und Entschädigungen vor dem Bundesverwaltungsgericht [VGKE, SR 173.320.2]). Der Rechtsvertreter reichte am 16. Dezember 2015 eine Kostennote ein. Der darin für die Ausarbeitung der Beschwerdebegründung ausgewiesene Aufwand von 5.5 Stunden erscheint angemessen. Ferner reichte er am 10. März 2016 - und mithin nach Erstellen der genannten Kostennote - eine 4-seitige Replik ein. In Anwendung von Art. 14 Abs. 2 in fine VGKE und unter Berücksichtigung der massgeblichen Bemessungsfaktoren (vgl. Art. 8 ff. VGKE) ist der Aufwand hierfür auf 1.5 Stunden festzulegen. Beim in der Kostennote angegebenen, reglementskonformen Stundenansatz von Fr. 200.- und unter Einschluss der in der Kostennote angegebenen Auslagen von Fr. 40.- ergibt dies ein Gesamtaufwand von Fr. 1'440.-. Das SEM wird angewiesen, den Beschwerdeführenden eine Parteientschädigung in dieser Höhe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