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E-7870/2016 vom 6. Januar 2017</w:t>
      </w:r>
    </w:p>
    <w:p>
      <w:r>
        <w:t>Bundesverwaltungsgericht, 2017-01-06, DE</w:t>
      </w:r>
    </w:p>
    <w:p>
      <w:r>
        <w:rPr>
          <w:b/>
        </w:rPr>
        <w:t xml:space="preserve">Quelle: </w:t>
      </w:r>
      <w:r>
        <w:t>https://mcp.opencaselaw.ch/entscheid/bvger_E-7870_2016</w:t>
      </w:r>
    </w:p>
    <w:p>
      <w:r>
        <w:t>FR: TAF E-7870/2016 du 6 janvier 2017</w:t>
      </w:r>
    </w:p>
    <w:p>
      <w:r>
        <w:t>IT: TAF E-7870/2016 del 6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Gemäss Art. 31a Abs. 1 Bst. b AsylG tritt das SEM auf ein Asylgesuch in der Regel nicht ein, wenn eine asylsuchende Person in einen Drittstaat ausreisen kann,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Gemäss einem Abgleich mit dem CS-Vis erhielt der Beschwerdeführer von Frankreich ein bis 9. September 2016 gültiges Schengen-Visum. Die französischen Behörden hiessen das Übernahmeersuchen des SEM innert der in Art. 22 Abs. 1 Dublin-III-VO vorgesehenen Frist gut. Die Zuständigkeit Frankreichs ist somit grundsätzlich gegeben.</w:t>
      </w:r>
    </w:p>
    <w:p>
      <w:r>
        <w:rPr>
          <w:b/>
        </w:rPr>
        <w:t>E. 4.2</w:t>
      </w:r>
    </w:p>
    <w:p>
      <w:r>
        <w:t>Der Beschwerdeführer bringt gegen seine Überstellung nach Frankreich vor, die politische Lage in Frankreich sei instabil, es habe in letzter Zeit vermehrt Terroranschläge gegeben. In seinem Heimatland sei er selber terrorisiert worden, es sei für ihn deshalb nicht möglich nach Frankreich zu gehen. Die Schweiz müsse deshalb die Zuständigkeit des Dossiers übernehmen und die Ermessensklausel nach Art. 17 Abs. 1 Dublin-III-VO anwenden.</w:t>
      </w:r>
    </w:p>
    <w:p>
      <w:r>
        <w:rPr>
          <w:b/>
        </w:rPr>
        <w:t>E. 4.3</w:t>
      </w:r>
    </w:p>
    <w:p>
      <w:r>
        <w:t>Frankreich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Frankreich die Verfahrensrichtlinie, die Qualifikationsrichtlinie und die Aufnahmerichtlinie des Europäischen Parlamentes und Rates. Sodann gibt es keine Gründe für die Annahme, das Asylverfahren und die Aufnahmebedingungen für Antragsteller in Frankreich würden systemische Schwachstellen aufweisen, die eine Gefahr einer unmenschlichen oder entwürdigenden Behandlung im Sinne von Art. 4 EU-Grundrechtecharta mit sich bringen.</w:t>
      </w:r>
    </w:p>
    <w:p>
      <w:r>
        <w:rPr>
          <w:b/>
        </w:rPr>
        <w:t>E. 4.4</w:t>
      </w:r>
    </w:p>
    <w:p>
      <w:r>
        <w:t>Der Beschwerdeführer hat kein konkretes und ernsthaftes Risiko dargetan, die französischen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Frankreich seien derart schlecht, dass sie zu einer Verletzung von Art. 3 EMRK oder Art. 3 FoK führen könnten. Er hat auch keine konkreten Hinweise für die Annahme dargetan, Frankreich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Die Vorinstanz hat dem Beschwerdeführer schliesslich in korrekter Weise das rechtliche Gehör zu einer möglichen Überstellung nach Frankreich gewährt. Bei dieser Gelegenheit hat der Beschwerdeführer nichts vorgetragen, was gegen seine Überstellung sprechen würde. Die Vorinstanz ist deshalb zu Recht davon ausgegangen, dass in seinem Einzelfall keine Anhaltspunkte oder Hinweise vorliegen, die auf eine abweichende Einschätzung hinsichtlich der Zulässigkeit einer Überstellung nach Frankreich hindeuten würden. Nach dem Gesagten besteht kein Grund für eine Anwendung der Ermessensklausel von Art. 17 Abs. 1 Dublin-III-VO.</w:t>
      </w:r>
    </w:p>
    <w:p>
      <w:r>
        <w:rPr>
          <w:b/>
        </w:rPr>
        <w:t>E. 4.5</w:t>
      </w:r>
    </w:p>
    <w:p>
      <w:r>
        <w:t>Aus den Erwägungen ergibt sich, dass die angefochtene Verfügung kein Bundesrecht verletzt und auch sonst nicht zu beanstanden ist (Art. 106 AsylG und Art. 49 VwVG). Die Beschwerde ist somit abzuweisen.</w:t>
      </w:r>
    </w:p>
    <w:p>
      <w:r>
        <w:rPr>
          <w:b/>
        </w:rPr>
        <w:t>E. 5</w:t>
      </w:r>
    </w:p>
    <w:p>
      <w:r>
        <w:t>Bei diesem Ausgang des Verfahrens sind die Kosten von Fr. 600.- (Art. 1-3 des Reglements vom 21. Februar 2008 über die Kosten und Entschädigungen vor dem Bundesverwaltungsgericht [VGKE, SR 173.320.2]) dem Beschwerdeführer aufzuerlegen (Art. 63 Abs. 1 VwVG). Das Gesuch um aufschiebende Wirkung ist mit dem vorliegenden Beschwerdeurteil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