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E-785/2013 vom 23. April 2013</w:t>
      </w:r>
    </w:p>
    <w:p>
      <w:r>
        <w:t>Bundesverwaltungsgericht, 2013-04-23, FR</w:t>
      </w:r>
    </w:p>
    <w:p>
      <w:r>
        <w:rPr>
          <w:b/>
        </w:rPr>
        <w:t xml:space="preserve">Quelle: </w:t>
      </w:r>
      <w:r>
        <w:t>https://mcp.opencaselaw.ch/entscheid/bvger_E-785_2013</w:t>
      </w:r>
    </w:p>
    <w:p>
      <w:r>
        <w:t>FR: TAF E-785/2013 du 23 avril 2013</w:t>
      </w:r>
    </w:p>
    <w:p>
      <w:r>
        <w:t>IT: TAF E-785/2013 del 23 aprile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des considérants.</w:t>
      </w:r>
    </w:p>
    <w:p>
      <w:r>
        <w:rPr>
          <w:b/>
        </w:rPr>
        <w:t>E. 2</w:t>
      </w:r>
    </w:p>
    <w:p>
      <w:r>
        <w:t>La décision de l'ODM du 18 janvier 2013 est annulée et la cause renvoyée à l'ODM pour complément d'instruction et nouvelle(s) décision(s).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L'ODM versera aux recourants le montant de 600 francs à titre de dépens.</w:t>
      </w:r>
    </w:p>
    <w:p>
      <w:r>
        <w:rPr>
          <w:b/>
        </w:rPr>
        <w:t>E. 6</w:t>
      </w:r>
    </w:p>
    <w:p>
      <w:r>
        <w:t>Le présent arrêt est adressé à la mandataire des recourants,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