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E-7840/2016 vom 20. Januar 2017</w:t>
      </w:r>
    </w:p>
    <w:p>
      <w:r>
        <w:t>Bundesverwaltungsgericht, 2017-01-20, DE</w:t>
      </w:r>
    </w:p>
    <w:p>
      <w:r>
        <w:rPr>
          <w:b/>
        </w:rPr>
        <w:t xml:space="preserve">Quelle: </w:t>
      </w:r>
      <w:r>
        <w:t>https://mcp.opencaselaw.ch/entscheid/bvger_E-7840_2016</w:t>
      </w:r>
    </w:p>
    <w:p>
      <w:r>
        <w:t>FR: TAF E-7840/2016 du 20 janvier 2017</w:t>
      </w:r>
    </w:p>
    <w:p>
      <w:r>
        <w:t>IT: TAF E-7840/2016 del 20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Beschwerdeeingabe wurde hinsichtlich des Widerspruchs betreffend des Bestehens der Aktivisten-Gruppe zwischen den Aussagen an der BzP und der Anhörung im Wesentlichen erklärt, der Beschwerdeführer habe die Frage an der BzP nicht richtig verstanden und deshalb ungenau geantwortet. Andererseits ergebe sich auch aus dem Kontext, dass er die Aussage über die Gründung der Gruppe ein Jahr vor seiner Ausreise, so nicht gemeint habe. Hinsichtlich der ihm vom SEM vorgeworfenen Unkenntnis der Nachnamen seiner Freunde wurde entgegengehalten, dass Nachnamen im Iran praktisch bedeutungslos seien. Dass er zudem die Wohnorte seiner Freunde nicht gekannt habe, sei eine Vorsichts-massnahme beziehungsweise eine Aufnahmebedingung für die Gruppe gewesen, da man als Mitglied der Gruppe auf diese Weise auf Druck der Sicherheitsbehörden die jeweiligen Wohnorte der anderen Mitglieder nicht hätte verraten können. Sodann seien die Ausführungen des Beschwerdeführers zu den Aktivitäten und zu den auf den Flugblättern thematisierten Ereignissen keineswegs stereotyp oder unsubstanziiert gewesen. Es habe sich bei den dargestellten politischen Ereignissen der Jahre 2009, 2010 und 2012 um international bedeutungsvolle Ereignisse gehandelt, welche aufgrund der strengen Medienzensur im Iran auch im Jahr 2014 noch von Interesse gewesen seien. Schliesslich sei angesichts der hohen Ereignisdichte innerhalb eines kurzen Zeitraums - sowie des Zeitablaufs von zwei Jahren seit seiner Ausreise bis zur Anhörung - nachvollziehbar, dass dem Beschwerdeführer gewisse chronologische Fehler unterlaufen seien.</w:t>
      </w:r>
    </w:p>
    <w:p>
      <w:r>
        <w:rPr>
          <w:b/>
        </w:rPr>
        <w:t>E. 6.1</w:t>
      </w:r>
    </w:p>
    <w:p>
      <w:r>
        <w:t>Zunächst ist in Übereinstimmung mit der Vorinstanz festzuhalten, dass der Beschwerdeführer betreffend die politischen Aktivitäten mit seinen Freunden bloss vage sowie widersprüchliche Angaben machte. Insbesondere stellen seine fehlende Kenntnis der Nachnamen und Wohnorte seiner langjährigen Freunde ein wichtiges Indiz für die Unglaubhaftigkeit seiner Vorbringen dar (vgl. A29/20 S. 12 F89 ff., S. 16 F123 ff.). Die diesbezüglichen Erklärungen auf Beschwerdeebene, die Kenntnis dieser Angaben seien nicht von Bedeutung respektive verboten, überzeugen offensichtlich nicht; im Übrigen würde eine klandestine Gruppen wohl gegebenenfalls mit Decknamen operieren und auch die echten Vornamen nicht verwenden. Auch die gesamte Situation, die seine Ausreise ausgelöst haben soll, erscheint unplausibel und realitätsfern. So wurde im Wesentlichen geschildert, es seien zwei seiner Kollegen verhaftet worden und daraufhin habe man befürchtet, der Beschwerdeführer sei nun in Gefahr. Indessen werden die beiden behaupteten Festnahmen nicht näher umschrieben und übrigens auch mit keinen Beweismitteln untermauert (vgl. A29/20 S. 9 F67, S. 14 F102 f.). Weiter vermochte er auch den Vorfall im Park sowie die angeblichen behördlichen Suchaktionen nach ihm nur oberflächlich zu beschreiben (vgl. A29/20 S. 9 f. F70 ff.). Es ist zumindest erstaunlich, dass der Beschwerdeführer trotz der angeblichen Festnahmen seiner beiden Kollegen und im Wissen seiner Gefährdungslage vierzehn Tage vor seiner Ausreise noch wie bisher Flugblätter verteilt haben will (vgl. A6/17 S.9; Beschwerde S. 8). Vielmehr wäre in einer solchen Situation eher ein anderes Verhalten, namentlich die vorübergehende Einstellung seiner Aktivitäten oder eine sonstige Veränderung seines Verhaltens, zu erwarten gewesen.</w:t>
      </w:r>
    </w:p>
    <w:p>
      <w:r>
        <w:rPr>
          <w:b/>
        </w:rPr>
        <w:t>E. 6.2</w:t>
      </w:r>
    </w:p>
    <w:p>
      <w:r>
        <w:t>Weiter ist es angesichts der heutzutage vielfältigen digitalen Kommunikationsmöglichkeiten realitätsfremd, dass der Beschwerdeführer gemäss eigenen Angaben seit dem Vorfall im Park keinen Kontakt mehr mit seiner Freundin gehabt habe und seit seiner Ausreise auch den Kontakt mit seiner Familie meide (vgl. A29/20 S. 15 F 116 ff. und S. 4 f. F26 ff.). Seine in diesem Zusammenhang vorgebrachte Furcht vor staatlicher Überwachung und weiteren Verfolgungsmassnahmen erweisen sich angesichts der für unglaubhaft befundenen Verfolgungsvorbringen als unbegründet. Schliesslich ist nicht nachvollziehbar, dass der Beschwerdeführer an der BzP vortrug, nichts über den Verbleib der beiden übrigen (nicht verhafteten) Kollegen zu wissen, hätte der Beschwerdeführer doch bei Richtigkeit seiner Angaben sicherlich versucht, das Schicksal der weiteren Gruppenmitglieder im Auge zu behalten (vgl. BzP A6/17 S. 12; Anhörung A29/20 S. 14 F104 ff.).</w:t>
      </w:r>
    </w:p>
    <w:p>
      <w:r>
        <w:rPr>
          <w:b/>
        </w:rPr>
        <w:t>E. 6.3</w:t>
      </w:r>
    </w:p>
    <w:p>
      <w:r>
        <w:t>Es kann dem Beschwerdeführer sodann auch im Hinblick auf die Reihenfolge seiner geltend gemachten Vorbringen an der BzP nicht logisch gefolgt werden, wenn er zu Beginn behauptete, er beziehungsweise sein Vater hätten eine Gefährdung des Beschwerdeführers vermutet, woraufhin der Beschwerdeführer ausgereist sei, und am Ende der Befragung demgegenüber plötzlich neu vorbrachte, er werde seit der Festnahme seiner Freunde behördlich gesucht (vgl. BzP A6/17 S. 8 f. und 11).</w:t>
      </w:r>
    </w:p>
    <w:p>
      <w:r>
        <w:rPr>
          <w:b/>
        </w:rPr>
        <w:t>E. 6.4</w:t>
      </w:r>
    </w:p>
    <w:p>
      <w:r>
        <w:t>Hinsichtlich des vom Beschwerdeführer erwähnten Strafverfahrens gegen ihn wegen Alkoholbesitzes im Jahr (...) oder (...) (vgl. A29/29 S. 7 F51 ff.) ist in Übereinstimmung mit dem SEM festzustellen, dass dieses - sollte es sich hierbei um ein authentisches Vorbringen handeln - mangels Kausalität keine Asylrelevanz aufweisen würde.</w:t>
      </w:r>
    </w:p>
    <w:p>
      <w:r>
        <w:rPr>
          <w:b/>
        </w:rPr>
        <w:t>E. 6.5</w:t>
      </w:r>
    </w:p>
    <w:p>
      <w:r>
        <w:t>Nach den vorstehenden Erwägungen erweisen sich die Vorbringen des Beschwerdeführers gegen den Entscheid des SEM als nicht stichhaltig und können keine Änderung des vorinstanzlichen Entscheids herbeiführen. Es kann angesichts der klaren Sachlage verzichtet werden, auf weitere Aspekte in den Vorbringen des Beschwerdeführers einzugehen. Im Übrigen kann auf die zutreffenden Ausführungen in der angefochtenen Verfügung verwiesen werden.</w:t>
      </w:r>
    </w:p>
    <w:p>
      <w:r>
        <w:rPr>
          <w:b/>
        </w:rPr>
        <w:t>E. 7.1</w:t>
      </w:r>
    </w:p>
    <w:p>
      <w:r>
        <w:t>Da eine Vorverfolgung des Beschwerdeführers nicht gegeben ist, ist im Folgenden zu prüfen, ob der Beschwerdeführer aufgrund seines geltend gemachten exilpolitischen Engagements in der Schweiz zukünftige Ver-folgung durch die iranischen Behörden zu befürchten hat und demnach die Flüchtlingseigenschaft wegen subjektiver Nachfluchtgründe erfüllt.</w:t>
      </w:r>
    </w:p>
    <w:p>
      <w:r>
        <w:rPr>
          <w:b/>
        </w:rPr>
        <w:t>E. 7.2.1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7.2.2</w:t>
      </w:r>
    </w:p>
    <w:p>
      <w:r>
        <w:t>Gemäss der am 1. Februar 2014 in Kraft getretenen Bestimmung von Art. 3 Abs. 4 AsylG sind Personen, die Verfolgungsgründe geltend machen, die wegen ihres Verhaltens nach der Ausreise entstanden sind und weder Ausdruck noch Fortsetzung einer bereits im Heimat- oder Herkunftsstaat bestehenden Überzeugung oder Ausrichtung sind, keine Flüchtlinge wobei die Einhaltung des Abkommens vom 28. Juli 1951 über die Rechtsstellung der Flüchtlinge (FK, SR 0.142.30) vorbehalten bleibt.</w:t>
      </w:r>
    </w:p>
    <w:p>
      <w:r>
        <w:rPr>
          <w:b/>
        </w:rPr>
        <w:t>E. 7.3.1</w:t>
      </w:r>
    </w:p>
    <w:p>
      <w:r>
        <w:t>Das SEM hielt in seiner Verfügung mit Verweis auf das Urteil des Bundesverwaltungsgerichts D-830/2016 vom 20. Juli 2016 fest, die blosse Mitgliedschaft in der DVF und selbst die Position eines Kantonsverantwortlichen der DVF würden nicht per se zu einer Gefährdung führen. Auch die geltend gemachten Aktivitäten und die eingereichten Beweismittel würden dem Beschwerdeführer keine Exponierung verleihen, die eine Gefährdung bewirken könnten. Seine wiederholte Teilnahme an Demonstrationen, die gelegentliche Publikation von Fotos mit ihm auf der Internetseite der DVF und das Vorkommen in (...) in E._______ (er sei darin als einer von mehreren [...] beziehungsweise Ordnern der DVF von hinten und von der Seite zu sehen, aber wohl kaum zu identifizieren) vermöchten ihn allenfalls eine optische Sichtbarkeit zu verleihen. Gemäss zitierter Rechtsprechung seien jedoch optische Erkennbarkeit und Individualisierbarkeit alleine nicht massgeblich. Seine Aufgaben für die DVF würden sich auf die Tätigkeit als Ordner und die Verteilung von Flugblättern beschränken. Zwar habe er angegeben, als Sekretär tätig zu sein. Indes sei er nicht in der Lage gewesen, dies zu erläutern, wobei zu vermuten sei, dass ihm die Bedeutung des deutschen Wortes "Sekretär" nicht bekannt gewesen sei. Schliesslich führe auch die blosse Wiedergabe von Beiträgen auf seinem Facebook-Profil, die offensichtlich nicht aus seiner Feder stammen würden, nicht zu einer besonderen Exponierung.</w:t>
      </w:r>
    </w:p>
    <w:p>
      <w:r>
        <w:rPr>
          <w:b/>
        </w:rPr>
        <w:t>E. 7.3.2</w:t>
      </w:r>
    </w:p>
    <w:p>
      <w:r>
        <w:t>Auf Beschwerdestufe wurde der Vorinstanz entgegengehalten, es handle sich bei der DVF keinesfalls um eine isolierte Vereinigung einiger weniger Exilpolitiker, sondern um eine Organisation, welche in der breiten Bewegung der exilpolitisch tätigen Iraner einzuordnen sei. Die DVF stelle sich gemeinsam mit anderen Gruppierungen und Organisationen gegen das iranische Regime, weshalb sie im Fokus der Überwachungsmassnahmen der iranischen Regierung seien. Das SEM habe in anderen Fällen die Flüchtlingseigenschaft von DVF-Mitgliedern anerkannt. Der Beschwerdeführer sei seit Mai 2015 (...) an Kundgebungen der Allianz verschiedener Organisationen. In dieser Funktion sei er in (...) erschienen. Ferner betreibe er ein Facebook-Konto mit regimefeindlichen Einträgen. Aus diesen Gründen könne eine flüchtlingsrelevante Verfolgung des Beschwerdeführers bei einer Rückkehr in den Iran nicht ausgeschlossen werden. Auch wurde mit Verweis auf internationale Entscheide, namentlich des UN-Antifolterausschusses (Committee Against Torture; nachfolgend: CAT), des Europäischen Gerichtshofs für Menschenrechte (EGMR) und der Upper Tribunal des Vereinigten Königreichs festgehalten, dass nicht nur exponierte Kaderpolitiker im Fokus der iranischen Überwachungsmassnahmen stünden und nicht nur Anführer beziehungsweise Kadermitglieder von politischen Exilorganisationen dem Risiko einer Verfolgung durch die iranischen Behörden ausgesetzt seien, sondern sämtliche Aktivisten, und dass die iranischen Behörden gezielt und systematisch Teilnehmer an exilpolitischen Kundgebungen zu identifizieren versuchen würden. Das gelte selbst für Demonstrationsteilnehmer, welche aus opportunistischen Gründen aktiv würden.</w:t>
      </w:r>
    </w:p>
    <w:p>
      <w:r>
        <w:rPr>
          <w:b/>
        </w:rPr>
        <w:t>E. 7.4</w:t>
      </w:r>
    </w:p>
    <w:p>
      <w:r>
        <w:t>Das SEM hielt in seiner Entscheidbegründung zutreffend fest, das exilpolitische Engagement des Beschwerdeführers vermöge keine Furcht vor flüchtlingsrelevanter Verfolgung bei einer Rückkehr zu begründen. Diesen Erwägungen schliesst sich das Gericht - wie nachfolgend aufgezeigt - vollumfänglich an.</w:t>
      </w:r>
    </w:p>
    <w:p>
      <w:r>
        <w:rPr>
          <w:b/>
        </w:rPr>
        <w:t>E. 7.4.1</w:t>
      </w:r>
    </w:p>
    <w:p>
      <w:r>
        <w:t>Gemäss Praxis des Bundesverwaltungsgerichts ist bei der Prüfung der exilpolitischen Aktivitäten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7.4.2</w:t>
      </w:r>
    </w:p>
    <w:p>
      <w:r>
        <w:t>Das SEM hat sich bei der Würdigung der Vorbringen zu Recht am Referenzurteil des Bundesverwaltungsgerichts D-830/2016 vom 20. Juli 2016 orientiert, in welchem das Gericht in einem ähnlich gelagerten Fall das Vorliegen von subjektiven Nachfluchtgründen bei exilpolitischen Aktivitäten für die DVF verneint hat. Die Vorinstanz hielt dabei korrekt fest, dass die optische Erkennbarkeit und Individualisierbarkeit alleine nicht massgeblich seien. Der Beschwerdeführer hat in der Tat keine wichtige oder führende Position bei der DVF innegehabt. Anlässlich der Anhörung vermochte er seine Aufgaben als angeblicher (...) der DVF nicht logisch und präzise zu beschreiben, sondern führte hierzu vielmehr die Aufgaben eines (...) an (vgl. A29/20 S. 4 F14 bis F16). Im Übrigen würden seine exilpolitischen Aktivitäten auch die Verteilung von Flugblättern der DVF und die Führung eines aktiven Facebook-Kontos umfassen (vgl. A29/20 S. 4 F17 bis F24). Hierzu wurden diverse Beweismittel eingereicht. Diese sind jedoch nicht geeignet, sein Profil als Aktivisten zu akzentuieren, zumal die im Internet beziehungsweise auf Facebook publizierten Fotos der Teilnahme des Beschwerdeführers an öffentlichen Kundgebungen auf keine besondere Exponierung desselben schliessen lassen.</w:t>
      </w:r>
    </w:p>
    <w:p>
      <w:r>
        <w:rPr>
          <w:b/>
        </w:rPr>
        <w:t>E. 7.4.3</w:t>
      </w:r>
    </w:p>
    <w:p>
      <w:r>
        <w:t>In der Beschwerde ist neu nicht mehr die Rede von der Funktion als (...) der DVF, sondern als (...) der Allianz mehrerer Organisationen. Dass der Beschwerdeführer nun gemäss dem neu eingereichten Bestätigungsschreiben der DVF an Kundgebungen als (...) tätig war, macht indes noch keinen exponierten Aktivisten aus ihm. Gemäss dem Bestätigungsschreiben sei er einer von mehreren (...) gewesen, die an solchen Veranstaltungen (...) hätten. Dabei scheint es sich vielmehr um bloss sporadische (...) gehandelt zu haben, die ein beliebiges Mitglied genauso hätte wahrnehmen können. Im Referenzurteil des Bundesverwaltungsgerichts D-830/2016 wird zur Organisation der DVF ferner die Bemerkung angebracht, dass die DVF mit der Schaffung von zahlreichen "Kaderpositionen" vermutlich versuche, subjektive Nachfluchtgründe zu schaffen (vgl. 4.3). Auch angesichts dieser Vermutung ist der angeblichen Funktion des Beschwerdeführers als "(...)" umso weniger Bedeutung beizumessen.</w:t>
      </w:r>
    </w:p>
    <w:p>
      <w:r>
        <w:rPr>
          <w:b/>
        </w:rPr>
        <w:t>E. 7.4.4</w:t>
      </w:r>
    </w:p>
    <w:p>
      <w:r>
        <w:t>Weiter scheinen mit Verweis auf die Erwägung 4.3 des obgenannten Referenzurteils (vgl. S. 14), auch im vorliegenden Fall die Demonstrationen und Anlässe darauf angelegt zu sein, möglichst viel Aufmerksamkeit in den Medien zu erlangen, mit anschliessender Dokumentation im Internet, wobei die Bilder des Beschwerdeführers jeweils möglichst prominent herausgestellt werden. Es ist höchst wahrscheinlich, dass der Beschwerdeführer mit seinem - erst in der Schweiz aufgenommenen politischen Engagement - die Erfüllung von subjektiven Nachfluchtgründen zu schaffen anstrebt.</w:t>
      </w:r>
    </w:p>
    <w:p>
      <w:r>
        <w:rPr>
          <w:b/>
        </w:rPr>
        <w:t>E. 7.4.5</w:t>
      </w:r>
    </w:p>
    <w:p>
      <w:r>
        <w:t>Schliesslich vermag der Beschwerdeführer mit Verweis auf das obgenannte Referenzurteil auch aus den angerufenen Entscheiden des CAT, des EGMR und des Upper Tribunal des Vereinigten Königreichs nichts zu seinen Gunsten abzuleiten (vgl. E 4.3 S. 15 f.). Das Bundesverwaltungsgericht kam im fraglichen Referenzurteil nach Auswertung dieser Rechtsprechung zum Schluss, dass auch der EGMR und das CAT eine gewisse Exponierung verlangen würden. Die Grundlagen des fraglichen Falles - welche mit dem vorliegenden Sachverhalt vergleichbar sind, wenn diejenigen des Referenzurteils nicht sogar ein aktiveres Engagement aufweisen - lassen sich nicht mit demjenigen des EGMR-Entscheids vergleichen, zumal bei diesem ein fundamental anderes beziehungsweise exponierteres exilpolitisches Wirken zur Diskussion stand.</w:t>
      </w:r>
    </w:p>
    <w:p>
      <w:r>
        <w:rPr>
          <w:b/>
        </w:rPr>
        <w:t>E. 7.5</w:t>
      </w:r>
    </w:p>
    <w:p>
      <w:r>
        <w:t>Zusammenfassend ist somit festzuhalten, dass der Beschwerdeführer, der ein politisches Engagement im Heimatstat nicht glaubhaft machen konnte, nicht als ernsthafter und gefährlicher Regimegegner ins Visier der iranischen Sicherheitsbehörden geraten sein kann, weshalb das Vorliegen subjektiver Nachfluchtgründe zu verneinen ist. Das SEM hat zu Recht das Nichtbestehen der Flüchtlingseigenschaft des Beschwerdeführers festgestellt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CAT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w:t>
      </w:r>
    </w:p>
    <w:p>
      <w:r>
        <w:rPr>
          <w:b/>
        </w:rPr>
        <w:t>E. 9.3.2</w:t>
      </w:r>
    </w:p>
    <w:p>
      <w:r>
        <w:t>Sodann sprechen auch keine individuellen Gründe gegen eine Zumutbarkeit der Wegweisung des Beschwerdeführers in den Iran. Der junge und, soweit aktenkundig, gesunde Beschwerdeführer hat eigenen Angaben zufolge insgesamt (...) Jahre die Schule besucht und danach im Betrieb seiner Familie eine Zeit lang als (...) gearbeitet. Er habe keinen festen Beruf gehabt; am häufigsten sei er als (...) tätig gewesen; manchmal habe er (...) gearbeitet (vgl. A6/17 S. 4 oben). Seit seiner Geburt und bis zuletzt habe er in B._______ bei seinen Eltern gelebt. Aufgrund der gesamten Aktenlage ist davon auszugehen, dass der Beschwerdeführer über ein hinreichendes Beziehungsnetz an seinem Heimatort verfügt und ihm deshalb die Reintegration - insbesondere mithilfe der Unterstützung durch seine Familienangehörigen - in die iranische Gesellschaft gelingen wird. Vorliegend sprechen damit auch keine individuellen Umstände gegen die Zumutbarkeit des Wegweisungsvollzuges.</w:t>
      </w:r>
    </w:p>
    <w:p>
      <w:r>
        <w:rPr>
          <w:b/>
        </w:rPr>
        <w:t>E. 9.3.3</w:t>
      </w:r>
    </w:p>
    <w:p>
      <w:r>
        <w:t>Der Vollzug der Wegweisung des Beschwerdeführers erweist sich somit sowohl in genereller als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Anträge auf Gewährung der unentgeltlichen Prozessführung gemäss Art. 65 Abs. 1 VwVG sowie um Beiordnung eines unentgeltlichen Rechtsbeistands nach Art 110a AsylG sind abzuweisen, nachdem die Rechtsbegehren sich als aussichtslos erwiesen haben. Der Antrag auf Befreiung von der Kostenvorschusspflicht ist mit dem vorliegenden 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