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E-7838/2016 vom 2. März 2017</w:t>
      </w:r>
    </w:p>
    <w:p>
      <w:r>
        <w:t>Bundesverwaltungsgericht, 2017-03-02, DE</w:t>
      </w:r>
    </w:p>
    <w:p>
      <w:r>
        <w:rPr>
          <w:b/>
        </w:rPr>
        <w:t xml:space="preserve">Quelle: </w:t>
      </w:r>
      <w:r>
        <w:t>https://mcp.opencaselaw.ch/entscheid/bvger_E-7838_2016</w:t>
      </w:r>
    </w:p>
    <w:p>
      <w:r>
        <w:t>FR: TAF E-7838/2016 du 2 mars 2017</w:t>
      </w:r>
    </w:p>
    <w:p>
      <w:r>
        <w:t>IT: TAF E-7838/2016 del 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der Asylpunkt, die Wegweisung und die Flüchtlingseigenschaft des Beschwerdeführers.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Angaben des Beschwerdeführers seien insgesamt oberflächlich, einsilbig und substanzlos ausgefallen. Die meisten Aussagen seien als blosse Wiedergabe von allgemeinen Handlungsabläufen einzustufen und liessen jegliche Realkennzeichen vermissen. Ihm sei es nicht gelungen, seine schulische und militärische Ausbildung in Sawa, die Rückkehr nach Sawa und die angebliche Desertion glaubhaft zu machen. Zudem mache er zu wesentlichen Punkten, wie der Aufenthaltsdauer in Sawa nach seiner Rückkehr und seiner Identitätskarte, unterschiedliche Ausführungen. Seine Vorbringen würden den Anforderungen an die Glaubhaftigkeit nach Art. 7 AsylG nicht standhalten.</w:t>
      </w:r>
    </w:p>
    <w:p>
      <w:r>
        <w:rPr>
          <w:b/>
        </w:rPr>
        <w:t>E. 4.2</w:t>
      </w:r>
    </w:p>
    <w:p>
      <w:r>
        <w:t>Der Beschwerdeführer wendet dagegen ein, er sei allgemein nicht in der Lage detailreich zu erzählen. Sein mangelhaftes sprachliches Ausdrucksverhalten dürfe ihm nicht als Unglaubhaftigkeitsmerkmal vorgeworfen werden. Auch scheine die Fähigkeiten der übersetzenden Person nicht einwandfrei gewesen zu sein. Die problematisierte farbliche Armut seines Berichts dürfte in nicht zu unterschätzendem Ausmass diesem Umstand geschuldet gewesen sein. Insgesamt könne von genügendem Detailreichtum gesprochen werden. Der Widerspruch bezüglich der Aufenthaltsdauer in Sawa sei unwesentlich und den Widerspruch bezüglich seiner Identitätskarte habe er in der Anhörung entkräften können. Insgesamt habe er die Desertion rechtsgenüglich glaubhaft gemacht.</w:t>
      </w:r>
    </w:p>
    <w:p>
      <w:r>
        <w:rPr>
          <w:b/>
        </w:rPr>
        <w:t>E. 4.3</w:t>
      </w:r>
    </w:p>
    <w:p>
      <w:r>
        <w:t>Die Schlussfolgerungen der Vorinstanz sind indes weder in tatsächlicher noch in rechtlicher Hinsicht zu beanstanden. In der angefochtenen Verfügung wird einlässlich begründet, weshalb die Aussagen des Beschwerdeführers grösstenteils unglaubhaft ausgefallen sind. So stellt die Vorinstanz zutreffend fest, dass die Schilderungen des Beschwerdeführers oberflächlich ausgefallen seien. Er wird zu Beginn der Anhörung zur Sache aufgefordert, er solle genau erzählen, wie er den Tag der Abfahrt nach Sawa erlebt habe. Hierzu gibt er lediglich allgemeine Bemerkung zum 12. Schuljahr in Sawa zu Protokoll (vgl. SEM-Akten, A22/29 F64). Auch als er nochmals gebeten wird, persönlicher und detailliert zu schildern, bringt er nur vor, man stehe morgens auf, steige in den Bus und komme abends in Sawa an (SEM-Akten, A22/29 F65). Trotz weiterer Nachfragen sind vom Beschwerdeführer hierzu keine persönlichen Details erfahrbar. Gleiches gilt für die vom Beschwerdeführer vorgenommene Beschreibung des Geländes in Sawa. Er bringt vor, es gebe dort Schulen, Unterkünfte und einen Übungsplatz (SEM-Akten, A22/29 F73). Auch zum Unterricht, dem Tagesablauf und zur Ausbildung kann er nichts Konkretes berichten. Von jemandem, der angeblich über ein Jahr in Sawa gewesen sei, wäre mehr zu erwarten gewesen. Der Beschwerdeführer bringt sodann vor, nach dem Abschluss des 12. Schuljahres sei er nach einem Urlaub nach Sawa zurückgekehrt und habe erfahren, dass er als Soldat eingeteilt werden sollte. Er habe sich jedoch geweigert arbeiten zu gehen, weshalb er bestraft worden sei. Als er jedoch nach seiner Arbeitsverweigerung und der nachgehenden Bestrafung gefragt wird, bleiben seine Antworten einsilbig und ohne Gehalt (vgl. SEM-Akten, A22/29 F113 ff.). Schliesslich gelingt es ihm nicht, seine Flucht aus Sawa nachvollziehbar zu schildern. So wurde er gefragt, wie man sich unbemerkt aus Sawa entfernen könne. Darauf antwortet er lediglich, man versuche es auf allen Wegen. Wenn es einem glücke, sei es gut, sonst bedeute es Vernichtung (SEM-Akten, A22/29 F179). Auf die Frage, was man machen müsse, damit einem die Soldaten nicht erwischen würden, entgegnet er, man versuche es mit dem, was einem möglich sei. Wenn es sich ergebe, passiere man die entsprechende Stelle (SEM-Akten, A22/29 F181). Dieses oberflächliche Aussageverhalten des Beschwerdeführers zieht sich durch die gesamte Anhörung. Realkennzeichen sind keine ersichtlich. Unter diesen Umständen ist nicht davon auszugehen, dass der Beschwerdeführer das Vorgebrachte auch tatsächlich erlebt hat. Hinzu kommen die von der Vorinstanz erwähnten Widersprüche, welche sich zwar, wie der Beschwerdeführer zu Recht vorbringt, nicht auf entscheidwesentliche Punkte beziehen, jedoch sein unglaubhaftes Aussageverhalten unterstreichen. Dafür, dass er anlässlich der Anhörung gesundheitlich angeschlagen gewesen sei und dies Auswirkungen auf sein Aussageverhalten gehabt habe, finden sich im Protokoll der Anhörung keine Anzeichen. Ebenso wenig kann sich der Beschwerdeführer auf eine ungenügende Übersetzung berufen, zumal er zu Beginn der Anhörung zu Protokoll gibt, er verstehe den Dolmetscher gut und denke, dass dieser gut Tigrinya spreche (SEM-Akten, A22/29 F1). Schliesslich bestätigt er unterschriftlich, dass ihm das Protokoll der Anhörung Satz für Satz vorgelesen und in eine verständliche Sprache übersetzt worden sei, sowie dass das Protokoll vollständig sei und seiner freien Äusserung entspreche (SEM-Akten, A22/29 S. 28).</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Der Beschwerdeführer macht weiter geltend, er sei illegal aus Eritrea ausgereist und sei als Flüchtling vorläufig aufzunehmen.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nicht glaubhaft machen können, dass er den Nationaldienst verweigert oder aus dem Nationaldienst desertiert sei.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5.3</w:t>
      </w:r>
    </w:p>
    <w:p>
      <w:r>
        <w:t>Der Beschwerdeführer wendet dagegen ein, die Vorinstanz habe die in BVGE 2010/54 aufgestellten Regeln für eine Praxisänderung klar verletzt. Ausserdem habe die Vorinstanz das rechtliche Gehör verletzt, weil sie sich ungenügend zur vorgenommenen Praxisänderung geäussert habe. Das Bundesverwaltungsgericht hat in einem Koordinationsentscheid (Urteil des BVGer D-7898/2015 vom 30. Januar 2017 [zur Publikation als Referenzurteil vorgesehen]) die Zulässigkeit der durch die Vorinstanz vorgenommenen Praxisänderung bestätigt. Damit hat es auch implizit das Vorgehen der Vorinstanz bestätigt, womit der Beschwerdeführer aus BVGE 2010/54 nichts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finden sich in der angefochtenen Verfügung durchaus Hinweise auf die Praxisänderung der Vorinstanz (vgl. angefochtene Verfügung S. 5 f.) und die Vorinstanz hat die Praxisänderung dem Gericht vorgängig kommuniziert und die Öffentlichkeit durch die Medienkonferenz vom 23. Juni 2016 informiert. Die Vorgehensweise der Vorinstanz ist somit nicht zu beanstanden. Damit muss auch eine diesbezügliche Verletzung des rechtlichen Gehörs verneint werden.</w:t>
      </w:r>
    </w:p>
    <w:p>
      <w:r>
        <w:rPr>
          <w:b/>
        </w:rPr>
        <w:t>E. 5.4</w:t>
      </w:r>
    </w:p>
    <w:p>
      <w:r>
        <w:t>Der Beschwerdeführer bringt weiter vor, es gebe keine ernsthaften und sachlichen Gründe für eine Praxisänderung in Bezug auf Eritrea, weil keine neuen Herkunftsländerinformationen vorliegen würden. Personen, welche Eritrea illegal verlassen hätten, seien bei einer Rückkehr weiterhin ernstlichen Nachteilen ausgesetzt. Seine illegale Ausreise stelle somit einen subjektiven Nachfluchtgrund dar, weshalb er als Flüchtling vorläufig aufzunehmen sei.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Urteil D-7898/2015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weist, aufgrund seiner unglaubhaften Aussagen zur angeblichen Absolvierung des 12. Schuljahres in Sawa und der angeblichen Desertion aus dem Militärdienst, neben der illegalen Ausreise keine zusätzlichen Anknüpfungspunkte für eine Verschärfung seines Profils auf, weshalb sich keine asylrechtlich beachtliche Verfolgung annehmen lässt.</w:t>
      </w:r>
    </w:p>
    <w:p>
      <w:r>
        <w:rPr>
          <w:b/>
        </w:rPr>
        <w:t>E. 5.5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8.1</w:t>
      </w:r>
    </w:p>
    <w:p>
      <w:r>
        <w:t>Bei diesem Ausgang des Verfahrens wären die Kosten dem Beschwerdeführer aufzuerlegen (Art. 63 Abs. 1 VwVG). Da der Antrag auf Gewährung der unentgeltlichen Prozessführung mit Zwischenverfügung vom 23. Dezember 2016 gutgeheissen wurde, sind keine Kosten zu erheben.</w:t>
      </w:r>
    </w:p>
    <w:p>
      <w:r>
        <w:rPr>
          <w:b/>
        </w:rPr>
        <w:t>E. 8.2</w:t>
      </w:r>
    </w:p>
    <w:p>
      <w:r>
        <w:t>Mit Zwischenverfügung vom 23. Dezember 2016 wurde dem Beschwerdeführer die unentgeltliche Rechtsverbeiständung gewährt und lic. iur. Monika Böckle als amtliche Vertreterin eingesetzt. Die Rechtsvertreterin reichte eine Kostennote in der Höhe von Fr. 1'070.- (5 Stunden à Fr. 200.-, Fr. 70.00 Auslagen) ein. Bei amtlicher Vertretung geht das Bundesverwaltungsgericht in der Regel von einem Stundenansatz von Fr. 200.- bis Fr. 220.- für Anwältinnen und Anwälte und Fr. 100.- bis Fr. 150.- für nicht-anwaltliche Vertreterinnen und Vertreter aus. Es wird nur der notwendige Aufwand entschädigt (vgl. Art. 8 Abs. 2 des Reglements vom 21. Februar 2008 über die Kosten und Entschädigungen vor dem Bundesverwaltungsgericht [VGKE, SR 173.320.2]). Vorliegend ist mit einem Stundenansatz von Fr. 150.- zu rechnen und die Honorarnote entsprechend zu kürzen. Das amtliche Honorar ist deshalb auf Fr. 820.-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