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E-7837/2016 vom 30. März 2017</w:t>
      </w:r>
    </w:p>
    <w:p>
      <w:r>
        <w:t>Bundesverwaltungsgericht, 2017-03-30, DE</w:t>
      </w:r>
    </w:p>
    <w:p>
      <w:r>
        <w:rPr>
          <w:b/>
        </w:rPr>
        <w:t xml:space="preserve">Quelle: </w:t>
      </w:r>
      <w:r>
        <w:t>https://mcp.opencaselaw.ch/entscheid/bvger_E-7837_2016</w:t>
      </w:r>
    </w:p>
    <w:p>
      <w:r>
        <w:t>FR: TAF E-7837/2016 du 30 mars 2017</w:t>
      </w:r>
    </w:p>
    <w:p>
      <w:r>
        <w:t>IT: TAF E-7837/2016 del 30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Insoweit sich die Beschwerde gegen den Wegweisungsvollzug richtet (Dispositivziffern 4-7), ist auf die Beschwerde nicht einzutreten. Der Wegweisungsvollzug wurde bereits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3.5</w:t>
      </w:r>
    </w:p>
    <w:p>
      <w:r>
        <w:t>Asylsuchende sind verpflichtet, an der Feststellung des Sachverhalts mitzuwirken (Art. 8 AsylG und Art. 2a Asylverordnung 1 über Verfahrensfragen [Asylverordnung 1, AsylV 1, SR 142.311]). Die verwaltungsrechtliche Offizialmaxime findet unter anderem ihre Grenzen an der Mitwirkungspflicht (Art. 8 AsylG, vgl. BVGE 2014/12 E. 6 S. 213 f.).</w:t>
      </w:r>
    </w:p>
    <w:p>
      <w:r>
        <w:rPr>
          <w:b/>
        </w:rPr>
        <w:t>E. 4.1</w:t>
      </w:r>
    </w:p>
    <w:p>
      <w:r>
        <w:t>Der Beschwerdeführer macht im Wesentlichen geltend, er wolle nicht ins Militär, weshalb er illegal aus Eritrea ausgereist sei.</w:t>
      </w:r>
    </w:p>
    <w:p>
      <w:r>
        <w:rPr>
          <w:b/>
        </w:rPr>
        <w:t>E. 4.2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(zur Publikation als Referenzurteil vorgesehen)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 ob minderjährig oder nicht - einzig aufgrund ihrer illegalen Ausreise aus Eritrea eine asylrelevante Verfolgung drohe. Nicht asylrelevant ist ferner die Möglichkeit, dass jemand nach der Rückkehr in den Nationaldienst eingezogen wird. Für die Begründung der Flüchtlingseigenschaft im eritreischen Kontext bedarf es nun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4.3</w:t>
      </w:r>
    </w:p>
    <w:p>
      <w:r>
        <w:t>Was die Vorfluchtgründe anbelangt, hat die Vorinstanz zutreffend festgestellt, dass diese unglaubhaft ausgefallen sind. So wurde beispielsweise der im Zentrum der Fluchtgeschichte stehende Marschbefehl in der Erstbefragung nicht ansatzweise erwähnt. Klare asylrelevante Aussagen, die in einer Erstbefragung von den späteren Aussagen diametral abweichen oder bestimmte Ereignisse oder Befürchtungen, die nicht ansatzweise erwähnt werden, sind praxisgemäss Widersprüche, die im Rahmen der Beweiswürdigung zu berücksichtigen sind (so bereits EMARK 1993/3 E. 3 S. 13). Hinzu kommt, dass der Beschwerdeführer seine Mitwirkungspflicht in mehrfacher Hinsicht verletzt hat (Art. 8 AsylG, z. B. SEM-Akten, A6, S. 2 und A28, S. 2). So reichte er weder Reisepapiere noch Identitätsausweise ein, obwohl er dies bereits am 23. Juli 2015 in Aussicht gestellt hatte (SEM-Akten, A6, S. 7). Zu Beginn der Zweitbefragung wurde er erneut auf die Pflicht hingewiesen, die Fragen "wahrheitsgemäss und vollständig zu beantworten" (SEM-Akten, A28, S. 2). Trotzdem war er offensichtlich nicht gewillt, klare Auskunft über den Zeitpunkt seiner Schulprüfung oder den Erhalt des Marschbefehls zu geben beziehungsweise die Fragen hierzu vollständig zu beantworten (SEM-Akten, A28, S. 2 ff., insb. F17 ff., F21 f., F24, F26, F28 oder F31). Neben zahlreichen Rückfragen und Antworten, wie "ich weiss es nicht", blieben manche Antworten sogar gänzlich aus. Anstatt Daten zu nennen oder mindestens zu bestätigen, sagte er aus, er habe keine Daten genannt oder antwortete beispielsweise auf die Frage, wie lang er nach der Prüfung noch in Eritrea geblieben sei, er sei etwa sechs Monate in Italien gewesen (SEM-Akten, A28, F24, F26, F31). Schliesslich sind die Ausführungen unsubstantiiert und widersprüchlich ausgefallen. Bei Personen, die ihre Mitwirkungspflicht in grober Wiese verletzen, ist vermutungsweise davon auszugehen, dass keine flüchtlingsrelevanten Gründe vorliegen (vgl. BVGE 2014/12 E. 5.10). Hieran ändern die nachgereichte Geburtsurkunde und die als Vorladung bezeichneten Zettel, die ohnehin keine fälschungssicheren Merkmale aufweisen, nichts. Vor diesem Hintergrund und dem offensichtlich unglaubhaften Aussageverhalten des Beschwerdeführers - insbesondere betreffend Vorladung - kann auf eine Übersetzung verzichtet werden. Im Übrigen macht er in seinem Schreiben vom 24. März 2017 keine weiteren Angaben dazu, wie er die Vorladung erhalten haben soll, und ist den Ausführungen zur späten Einreichung (über ein Jahr und acht Monate nach Stellung des Asylgesuchs) nicht zu folgen. Ferner hat sich der Beschwerdeführer sein Antwortverhalten anrechnen zu lassen. Indem der Befrager auf eine Antwort insistiert und deshalb mehrmals nachfragt, ist kein "Kommunikationsproblem" zwischen ihm und dem Beschwerdeführer festzustellen, sondern die Verweigerung des Beschwerdeführers, klare Antworten zu geben. Im Übrigen sind den Befragungsprotokollen auch keine Übersetzungsprobleme zu entnehmen; der Beschwerdeführer hat die Korrektheit der Rückübersetzungen jeweils unterschriftlich bestätigt. Der entsprechende Bericht der Schweizerischen Flüchtlingshilfe ist nicht geeignet, am Beweisergebnis etwas zu ändern. Die Vorfluchtgründe sind unglaubhaft. Nachdem der Beschwerdeführer neben der illegalen Ausreise keine zusätzlichen Anknüpfungspunkte für eine Verschärfung seines Profils zu belegen oder mindestens glaubhaft zu machen vermag, lässt sich keine asylrechtlich beachtliche Verfolgung annehmen. Aufgrund der Bestätigung der Praxisänderung der Vorinstanz im oben genannten Urteil, ist auf die Beschwerdeausführungen zur Rechtsprechung (insb. BVGE 2010/54) und auf die eingereichten Berichte nicht weiter einzugehen. Aus demselben Grund sind die entsprechenden Rügen unbegründet. Nach dem Gesagten vermögen die weiteren Beschwerdeausführungen am Beweisergebnis ebenfalls nichts zu ändern. Indem die Vorinstanz eine vorläufige Aufnahme anordnete, hat sie den Umständen des Einzelfalls ausreichend Rechnung getragen. Um Wiederholungen zu vermeiden, ist auf das erwähnte Koordinationsurteil des Bundesverwaltungsgerichts sowie die zutreffenden Erwägungen der Vorinstanz zu verweisen, die zu Recht die Flüchtlingseigenschaft verneint und das Asylgesuch des Beschwerdeführers abgelehnt hat. Nach dem Gesagten gibt es keinen Anlass, die Sache an die Vorinstanz zurückzuweisen; der Subeventualantrag ist abzuweisen.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Insoweit beantragt wird, der Beschwerdeführer sei als Flüchtling vorläufig aufzunehmen, ist die Beschwerde - nach Bestätigung der Dispositivziffer 1 der vorinstanzlichen Verfügung (E. 4) - gegenstandslos geworden.</w:t>
      </w:r>
    </w:p>
    <w:p>
      <w:r>
        <w:rPr>
          <w:b/>
        </w:rPr>
        <w:t>E. 7</w:t>
      </w:r>
    </w:p>
    <w:p>
      <w:r>
        <w:t>Aus diesen Erwägungen ergibt sich, dass die angefochtene Verfügung Bundesrecht nicht verletzt und auch sonst nicht zu beanstanden ist (Art. 106 AsylG). Die Beschwerde ist abzuweisen, soweit darauf einzutreten und sie nicht gegenstandslos geworden ist.</w:t>
      </w:r>
    </w:p>
    <w:p>
      <w:r>
        <w:rPr>
          <w:b/>
        </w:rPr>
        <w:t>E. 8.1</w:t>
      </w:r>
    </w:p>
    <w:p>
      <w:r>
        <w:t>Es sind keine Verfahrenskosten zu erheben. Die Gesuche um Gewährung der unentgeltlichen Prozessführung und Verzicht der Erhebung eines Kostenvorschusses wurden bereits mit Zwischenverfügung vom 22. Dezember 2016 gemäss Art. 65 Abs. 1 VwVG gutgeheissen.</w:t>
      </w:r>
    </w:p>
    <w:p>
      <w:r>
        <w:rPr>
          <w:b/>
        </w:rPr>
        <w:t>E. 8.2</w:t>
      </w:r>
    </w:p>
    <w:p>
      <w:r>
        <w:t>Dem vom Gericht am 22. Dezember 2016 bestellten unentgeltlichen Rechtsbeistand ist eine Entschädigung zu Lasten des Gerichts auszurichten (Art. 65 Abs. 5 VwVG und Art. 12 i.V.m. Art. 8 ff. des Reglements vom 21. Februar 2008 über die Kosten und Entschädigungen vor dem Bundesverwaltungsgericht [VGKE, SR 173.320.2]). Es wurde eine Kostennote eingereicht. Diese ist nicht zu beanstanden. Das amtliche Honorar ist somit auf Fr. 927.50 (inkl. Auslagen und Mehrwertsteuer) zu beziffern.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