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E-7832/2016 vom 14. Juli 2017</w:t>
      </w:r>
    </w:p>
    <w:p>
      <w:r>
        <w:t>Bundesverwaltungsgericht, 2017-07-14, DE</w:t>
      </w:r>
    </w:p>
    <w:p>
      <w:r>
        <w:rPr>
          <w:b/>
        </w:rPr>
        <w:t xml:space="preserve">Quelle: </w:t>
      </w:r>
      <w:r>
        <w:t>https://mcp.opencaselaw.ch/entscheid/bvger_E-7832_2016</w:t>
      </w:r>
    </w:p>
    <w:p>
      <w:r>
        <w:t>FR: TAF E-7832/2016 du 14 juillet 2017</w:t>
      </w:r>
    </w:p>
    <w:p>
      <w:r>
        <w:t>IT: TAF E-7832/2016 del 14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w:t>
      </w:r>
    </w:p>
    <w:p>
      <w:r>
        <w:t>Ein Abgleich der Fingerabdrücke des Beschwerdeführers mit der Eurodac-Datenbank ergab, dass dieser am 13. Mai 2015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 was vom Beschwerdeführer auch unbestritten blieb.</w:t>
      </w:r>
    </w:p>
    <w:p>
      <w:r>
        <w:rPr>
          <w:b/>
        </w:rPr>
        <w:t>E. 5.1</w:t>
      </w:r>
    </w:p>
    <w:p>
      <w:r>
        <w:t>Der Beschwerdeführer bringt vor, eine Überstellung nach Ungarn verstosse wegen der drohenden Inhaftierung und der Haftbedingungen gegen Art. 5 Abs. 1 AsylG und infolgedessen gegen das Non-Refoulement Prinzip. Der Zugang zum ungarischen Asylverfahren würde ihm verwehrt bleiben. Zudem weise das ungarische Asylwesen systemische Mängel auf.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EU-Grundrechtecharta mit sich bringen und folglich die grundsätzliche Zuständigkeit Ungarns im Sinne von Art. 3 Abs. 1 Dublin-III-VO durchbrechen würden.</w:t>
      </w:r>
    </w:p>
    <w:p>
      <w:r>
        <w:rPr>
          <w:b/>
        </w:rPr>
        <w:t>E. 5.3</w:t>
      </w:r>
    </w:p>
    <w:p>
      <w:r>
        <w:t>Das Bundesverwaltungsgericht hat im Urteil D-7853/2015 vom 31. Mai 2017 (als Referenzurteil publiziert)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5.4</w:t>
      </w:r>
    </w:p>
    <w:p>
      <w:r>
        <w:t>Mit derselben Begründung, wie sie vorstehend dargelegt wurde, ist es dem Gericht vorliegend nicht möglich, die Vorbringen in der Beschwerde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6</w:t>
      </w:r>
    </w:p>
    <w:p>
      <w:r>
        <w:t>Bei diesem Ausgang des Verfahrens sind keine Kosten zu erheben (Art. 63 Abs. 1 und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