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E-781/2016 vom 2. März 2016</w:t>
      </w:r>
    </w:p>
    <w:p>
      <w:r>
        <w:t>Bundesverwaltungsgericht, 2016-03-02, DE</w:t>
      </w:r>
    </w:p>
    <w:p>
      <w:r>
        <w:rPr>
          <w:b/>
        </w:rPr>
        <w:t xml:space="preserve">Quelle: </w:t>
      </w:r>
      <w:r>
        <w:t>https://mcp.opencaselaw.ch/entscheid/bvger_E-781_2016</w:t>
      </w:r>
    </w:p>
    <w:p>
      <w:r>
        <w:t>FR: TAF E-781/2016 du 2 mars 2016</w:t>
      </w:r>
    </w:p>
    <w:p>
      <w:r>
        <w:t>IT: TAF E-781/2016 del 2 marzo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1 (Flüchtlingseigenschaft), Ziffer 2 (Asyl) und Ziffer 3 (Wegweisung). Der Wegweisungsvollzug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wirft der Vorinstanz verschiedene Rechtsverletzungen vor. Er rügt eine Gehörsverletzung (E. 4) und behauptet eine Verletzung der Pflicht zur vollständigen und richtigen Abklärung des rechtserheblichen Sachverhaltes (E. 5). Die Vorbringen werden allerdings weitgehend ohne nähere Begründung und repetitiv getätigt.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Aus der angefochtenen Verfügung ergeben sich nach Prüfung der Akten keine Anhaltspunkte, die den Schluss zuliessen, die Vorinstanz habe die Begründungspflicht verletzt. Soweit geltend gemacht wird, die Vorinstanz habe es weitgehend unterlassen, die vom Beschwerdeführer eingereichten Beweismittel zu würdigen, ist festzuhalten, dass sich die Vorinstanz in ihrer Verfügung ausführlich über zwei Seiten mit den eingereichten Beweismitteln befasst und sich auf die wesentlichen Punkte konzentriert, die Verfügung mithin ausreichend begründet, zumal sie sich nicht mit jedem einzelnen Vorbringen auseinandersetzen muss und kann. Dass eine sachgerechte Anfechtung möglich war, zeigt die Beschwerde selbst. Die Vorinstanz hat zu Recht auf eine Überprüfung der Echtheit der Dokumente und insbesondere der Vorladung verzichtet (E. 6). In Bezug auf die Unzumutbarkeit des Wegweisungsvollzugs kann der Beschwerdeführer eine Verletzung der Begründungspflicht schon deshalb nicht geltend machen, weil die Vorinstanz diesbezüglich zu seinen Gunsten entschieden hat. Der Begründungspflicht ist Genüge getan.</w:t>
      </w:r>
    </w:p>
    <w:p>
      <w:r>
        <w:rPr>
          <w:b/>
        </w:rPr>
        <w:t>E. 4.3</w:t>
      </w:r>
    </w:p>
    <w:p>
      <w:r>
        <w:t>Andere Gehörsverletzungen sind auch nicht ersichtlich. Die Rüge der Gehörsverletzung geht fehl.</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5.2</w:t>
      </w:r>
    </w:p>
    <w:p>
      <w:r>
        <w:t>Der Beschwerdeführer führt aus, die Vorinstanz sei gehalten, eine weitere Anhörung durchzuführen und die Beweismittel zu würdigen. Damit zeigt er nicht auf, in Bezug auf welches rechtserhebliche Element der Sachverhalt unvollständig oder unrichtig festgestellt worden sein soll. Solches ist auch nicht ersichtlich.</w:t>
      </w:r>
    </w:p>
    <w:p>
      <w:r>
        <w:rPr>
          <w:b/>
        </w:rPr>
        <w:t>E. 5.3</w:t>
      </w:r>
    </w:p>
    <w:p>
      <w:r>
        <w:t>Die Rüge der rechtsfehlerhaften Sachverhaltsfeststellung geht fehl. Das Willkürverbot hat keinen selbständigen Gehalt, weil das Bundesverwaltungsgericht Tat- und Rechtsfragen mit voller Kognition überprüft. Zusammenfassend ist somit festzustellen, dass im vorliegenden Verfahren eine Verletzung der Begründungspflicht nicht ersichtlich ist, weil sich die Vorinstanz mit den entscheidwesentlichen Vorbringen auseinandergesetzt hat. Zusätzliche Abklärungen würden weder zu neuen sachdienlichen Erkenntnissen führen noch wären sie im vorinstanzlichen Verfahren entscheiderheblich gewesen. In antizipierter Beweiswürdigung ist festzustellen, dass eine ergänzende, vertiefte Sachverhaltsfeststellung bei der Beurteilung des vorliegenden Verfahrens nicht zu einem anderen Entscheid führen kann. Wie im Folgenden zu zeigen sein wird, ist auch die Beweiswürdigung und die Rechtsanwendung der Vorinstanz nicht zu beanstanden.</w:t>
      </w:r>
    </w:p>
    <w:p>
      <w:r>
        <w:rPr>
          <w:b/>
        </w:rPr>
        <w:t>E. 6.1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6.2</w:t>
      </w:r>
    </w:p>
    <w:p>
      <w:r>
        <w:t>Die Vorinstanz lehnt das Asylgesuch mangels Glaubhaftigkeit ab. Zur Reservistenkarte sei festzuhalten, dass der Erhalt einer solchen noch kein Aufgebot darstelle. Somit sei die Einreichung dieser Karte vorliegend nicht geeignet, den geltend gemachten Aufruf zum Reservedienst glaubhaft zu machen, womit sich auch eine Überprüfung der Echtheit der Karte erübrige. Des Weiteren sei dem Schreiben vom 27. Juli 2015 (zweites Asylgesuch) zu entnehmen, dass die Reservistenkarte aus dem Jahr 2008 stamme. Dem im ersten Asylverfahren eingereichten Militärbüchlein sei ebenfalls zu entnehmen, dass der Beschwerdeführer seit 2008 Reservist sei. In der Drittanhörung gebe er an, in Griechenland gewesen zu sein, als seinem Bruder die Reservistenkarte in Syrien vor etwa fünf Jahren - also etwa im Jahr 2011 - ausgehändigt worden sei. Es sei nicht plausibel, dass sein Bruder etwa zwei Jahre nachdem der Beschwerdeführer seinen obligatorischen Wehrdienst abgeleistet habe, für diesen plötzlich eine Reservistenkarte erhalten habe. Im Übrigen sei die Reservistenkarte kein geeignetes Beweismittel. Das eingereichte Aufgebot habe einen reduzierten Beweiswert. Dokumente, die leicht käuflich erworben werden können oder bei welchen formale und inhaltliche Kriterien eine schlüssige Überprüfung verunmöglichen würden, würden keiner materiellen Prüfung unterzogen. Hinzu komme, dass es realitätsfremd sei, dass die syrischen Behörden seinem Bruder mehr als vier Jahre nach seiner Ausreise ein Aufgebot für ihn aushändigen würden. Bereits im ersten Verfahren habe er ein Aufgebot unglaubhaft geltend gemacht.</w:t>
      </w:r>
    </w:p>
    <w:p>
      <w:r>
        <w:rPr>
          <w:b/>
        </w:rPr>
        <w:t>E. 6.3</w:t>
      </w:r>
    </w:p>
    <w:p>
      <w:r>
        <w:t>Der Beschwerdeführer erwidert, die Reservistenkarte kündige eine Mobilisierung an, sie beweise die eindeutig überwiegende Wahrscheinlichkeit, dass der Beschwerdeführer als Reservist der syrischen Armee in den aktiven Dienst einberufen worden sei. Es sei angesichts des Krieges und der Pflicht zum Reservistendienst offensichtlich, dass er zwischenzeitlich zum Militärdienst aufgeboten worden sei. Des Weiteren habe es die Vorinstanz bereits im ersten Asylverfahren zu Unrecht verneint, dass der Beschwerdeführer als Dienstverweigerer gesucht werde. Die Reservistenkarte, das Militäraufgebot und das Militärbüchlein seien die zentralen Dokumente. Die vorinstanzliche Argumentation schliesse jedoch das Militäraufgebot als Beweismittel einer stattgefundenen Mobilisierung automatisch aus. Im Übrigen verzichte die Vorinstanz zu Unrecht auf eine Prüfung der Asylrelevanz. Sodann führt der Beschwerdeführer - mit Verweis auf die Rechtsprechung und Berichte - die Folgen auf, die Dienstverweigerer und Verräter treffen und fordert, die Vorinstanz müsse diese Quellen berücksichtigen und die entsprechenden Konsequenzen für den vorliegenden Fall ziehen. Schliesslich sei der Beschwerdeführer weiterhin in der syrischen Opposition im Exil aktiv, so habe er auch 2015 an Demonstrationen teilgenommen.</w:t>
      </w:r>
    </w:p>
    <w:p>
      <w:r>
        <w:rPr>
          <w:b/>
        </w:rPr>
        <w:t>E. 6.4</w:t>
      </w:r>
    </w:p>
    <w:p>
      <w:r>
        <w:t>Die Schlussfolgerungen der Vorinstanz sind weder in tatsächlicher noch in rechtlicher Hinsicht zu beanstanden. Die Beschwerde erschöpft sich im Wesentlichen in weitschweifigen Ausführungen zur Wichtigkeit der eingereichten Beweismittel (Militärbüchlein, Vorladung und Reservistenkarte). Das Militärbüchlein und die Reservistenkarte sind jedoch weder geeignet, eine erneute Aufforderung zur Leistung des Militärdienstes zu belegen noch die vorgebrachte Gefährdung aufgrund einer Dienstverweigerung zu belegen (statt vieler Urteil BVGer D-4129/2014 vom 9. Februar 2016). So geht aus der Reservistenkarte und dem Militärbüchlein lediglich hervor, dass der Beschwerdeführer der Reserve zugeteilt wurde. Namentlich handelt es sich bei der Reservistenkarte nicht um einen Marschbefehl, sondern lediglich um eine Bestätigung, der Reserve zugeteilt zu sein und unter gegebenen Umständen einrücken zu müssen (so u.a. auch Urteil BVGer E-5456/2013 vom 16. Dezember 2015 E. 8.2 und BVGer D-1791/2014 vom 19. Januar 2015 E. 5.2). Dies geht bereits aus dem Wortlaut der Reservistenkarte hervor, wonach sich der Beschwerdeführer zu melden hat, "sobald" er einberufen wird (SEM-Akten D2, Ankündigung der Mobilisierung bzw. Reservistenkarte). Was die Vorladung anbelangt, hat die Vorinstanz richtig erkannt, dass Dokumente, die käuflich leicht erworben werden können oder die keine fälschungssicheren Merkmale aufweisen, nur geringen Beweiswert haben. Bei der vorgelegten Vorladung trifft beides zu. Zudem ist der Erhalt vier Jahre nach der Ausreise unglaubhaft und steht ferner im Widerspruch zum bereits im ersten Asylverfahren behaupteten Aufgebot (SEM-Akten, A23, S. 4 f.). Mit dem Grundsatzentscheid BVGE 2015/3 hat das Bundesverwaltungsgericht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jedoch nicht; diese ist indessen dann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Eine vergleichbare Konstellation ist vorliegend nicht gegeben. Den Akten lassen sich keine Anhaltspunkte für gezielte Verfolgungsmassnahmen der syrischen Behörden gegen den Beschwerdeführer vor seiner Ausreise entnehmen und es besteht kein Grund zur Annahme, dass er deren Aufmerksamkeit erregt haben könnte. Bereits im ersten Asylverfahren sind seine Vorbringen offensichtlich unglaubhaft ausgefallen. Es ist mithin nicht davon auszugehen, der Beschwerdeführer habe sich in Syrien der Wehrdienstverweigerung schuldig gemacht. Es ist ferner aktenkundig, dass der Beschwerdeführer - anders als geschildert - legal mit Ausreisestempel Syrien verlassen hat (u.a. SEM-Akten A32, S. 5. f.). Es kann auch ausgeschlossen werden, dass der Beschwerdeführer einer in erhöhtem Masse oppositionell aktiven Familie entstammt. In seinem Urteil D-5018/2015 vom 26. Oktober 2015 hält das Bundesverwaltungsgericht fest, selbst wenn ein Beschwerdeführer eine Vorladung zur Einberufung zum Militärdienst erhalte, könne allein aus diesem Umstand nicht auf eine flüchtlingsrechtlich relevante Gefährdung geschlossen werden (Urteil BVGer D-5018/2015 vom 26. Oktober 2015 E. 5.2). Ferner liegen Auskünfte vor, dass die Regierungstruppen auf die Rekrutierung kurdischstämmiger Männer zurzeit weitgehend verzichten, um Spannungen mit den kurdischen Truppen zu vermeiden. Da die Position der syrischen Armee geschwächt sei, verzichte man auf eine Konfrontation mit der YPG (Yekîneyên Parastina Gel, hierzu Urteil BVGer D-5018/2015 vom 26. Oktober 2015 E. 5.2 und Danish Immigration Service, Syria: Military Service, Mandatory Self-Defence Duty and Recruitment to the YPG, 26. Februar 2015, § 2.2, S. 15). Das Risiko einer Rekrutierung durch die Syrische Arabische Armee ist aus diesen Gründen als gering einzuschätzen. Diese Frage kann jedoch, ebenso wie die Frage der Echtheit der eingereichten Vorladung, vorliegend offen bleiben (wie etwa im Urteil BVGer D-5018/2015 vom 26. Oktober 2015 E. 5.2), da der Beschwerdeführer neben seiner Ethnie im Zusammenhang mit der ihm offenbar drohenden Rekrutierung keine weiteren Gründe glaubhaft vorgebracht hat, die auf ein asylrelevantes Motiv schliessen liessen. Es gelingt der Rechtsmitteleingabe folglich nicht aufzuzeigen, inwiefern die Verfügung der Vorinstanz Bundesrecht verletzen oder zu einer rechtsfehlerhaften Feststellung des Sachverhalts führen soll. Solches ist auch nicht ersichtlich. Um Wiederholungen zu vermeiden, ist auf die zutreffenden Ausführungen der Vorinstanz zu verweisen.</w:t>
      </w:r>
    </w:p>
    <w:p>
      <w:r>
        <w:rPr>
          <w:b/>
        </w:rPr>
        <w:t>E. 7.1</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des Abkommens über die Rechtsstellung der Flüchtlinge (Flüchtlingskonvention, FK, SR 0.142.30) wieder relativiert (vgl. Art. 3 Abs. 4 in fine AsylG).</w:t>
      </w:r>
    </w:p>
    <w:p>
      <w:r>
        <w:rPr>
          <w:b/>
        </w:rPr>
        <w:t>E. 7.2</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7.3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7.4</w:t>
      </w:r>
    </w:p>
    <w:p>
      <w:r>
        <w:t>Der Beschwerdeführer macht in der Beschwerde ein exilpolitisches Engagement geltend, ohne dieses detailliert oder konkret zu beschreiben, und reicht in diesem Zusammenhang zwei Fotos und ein Schreiben vom 5. November 2015 der Demokratischen Partei Kurdistani ein.</w:t>
      </w:r>
    </w:p>
    <w:p>
      <w:r>
        <w:rPr>
          <w:b/>
        </w:rPr>
        <w:t>E. 8.1</w:t>
      </w:r>
    </w:p>
    <w:p>
      <w:r>
        <w:t>Nach dem Referenzurteil des Bundesverwaltungsgerichts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vielmehr davon ausgegangen werden, dass durch den Überlebenskampf des Regimes die syrischen Geheimdienste primär auf die Situation im Heimatland konzentriert sind (Urteil BVGer D-3839/2013 vom 28. Oktober 2015 E. 6.3.5), und der Schwerpunkt ihrer Aktivitäten im Ausland bei einer selektiven und gezielten Überwachung der im Ausland lebenden Opposition liegt (vgl. Urteile BVGer E 6535/2014 vom 24. Juni 2015 E. 6.4, D 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8.2</w:t>
      </w:r>
    </w:p>
    <w:p>
      <w:r>
        <w:t>Folglich ist vorliegend zu prüfen, ob das vom Beschwerdeführer geltend gemachte exilpolitische Engagement den genannten Anforderungen genügt. Aufgrund der Aktenlage ist der Beschwerdeführer nicht der Kategorie von Personen zuzurechnen, die wegen ihrer Tätigkeit oder Funktionen im Exil als ernsthafte und potentiell gefährliche Regimegegner die Aufmerksamkeit der syrischen Geheimdienste auf sich gezogen haben könnten. Gestützt auf das eingereichte Schreiben, die Angaben des Beschwerdeführers und die oberflächlichen Ausführungen auf Beschwerdeebene ist nicht davon auszugehen, dass er innerhalb einer der exilpolitisch tätigen Organisationen und Parteien eine exponierte Kaderstelle innehat. Das Schreiben bestätigt lediglich, dass der Beschwerdeführer Kandidat der Partei sei und die beiden Fotos untermauern die Schlussfolgerung, dass sein exilpolitisches Engagement die Schwelle der massentypischen Erscheinungsformen exilpolitischer Proteste syrischer Staatsangehöriger nicht überschreitet. Deshalb ist es unwahrscheinlich, dass seitens des syrischen Regimes ein besonderes Interesse an seiner Person besteht (vgl. Urteil BVGer D-3839/2013 vom 28. Oktober 2015 E. 6.4.2).</w:t>
      </w:r>
    </w:p>
    <w:p>
      <w:r>
        <w:rPr>
          <w:b/>
        </w:rPr>
        <w:t>E. 9</w:t>
      </w:r>
    </w:p>
    <w:p>
      <w:r>
        <w:t>Zusammenfassend ist festzuhalten, dass der Beschwerdeführer keine Fluchtgründe glaubhaft machen oder nachweisen kann. Die Vorinstanz hat zu Recht auf Erörterungen zur Asylrelevanz verzichtet und das Asylgesuch folgerichtig abgelehnt.</w:t>
      </w:r>
    </w:p>
    <w:p>
      <w:r>
        <w:rPr>
          <w:b/>
        </w:rPr>
        <w:t>E. 10</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11</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12</w:t>
      </w:r>
    </w:p>
    <w:p>
      <w:r>
        <w:t>Aus diesen Erwägungen ergibt sich, dass die angefochtene Verfügung Bundesrecht nicht verletzt und den rechtserheblichen Sachverhalt richtig und vollständig feststellt (Art. 106 Abs. 1 AsylG). Die Beschwerde ist abzuweisen. Mit Einreichung der Sozialhilfebestätigung vom 10. Februar 2016 ist der Antrag auf Fristsetzung zur Nachreichung einer solchen gegenstandslos geworden.</w:t>
      </w:r>
    </w:p>
    <w:p>
      <w:r>
        <w:rPr>
          <w:b/>
        </w:rPr>
        <w:t>E. 13.1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13.2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