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E-7815/2016 vom 6. April 2017</w:t>
      </w:r>
    </w:p>
    <w:p>
      <w:r>
        <w:t>Bundesverwaltungsgericht, 2017-04-06, DE</w:t>
      </w:r>
    </w:p>
    <w:p>
      <w:r>
        <w:rPr>
          <w:b/>
        </w:rPr>
        <w:t xml:space="preserve">Quelle: </w:t>
      </w:r>
      <w:r>
        <w:t>https://mcp.opencaselaw.ch/entscheid/bvger_E-7815_2016</w:t>
      </w:r>
    </w:p>
    <w:p>
      <w:r>
        <w:t>FR: TAF E-7815/2016 du 6 avril 2017</w:t>
      </w:r>
    </w:p>
    <w:p>
      <w:r>
        <w:t>IT: TAF E-7815/2016 del 6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AsylG).Dass den Beschwerdeführern mit Zwischenverfügung vom 21. Dezember 2016 die unentgeltliche Rechtspflege (Art. 65 Abs. 1 VwVG) gewährt worden ist, die Beschwerde also als nicht aussichtslos qualifiziert wurde,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weitestgehend.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Daher ist nicht ausgeschlossen, dass eine im Rahmen der Instruktion als nicht aussichtslos beurteilte Beschwerde wie hier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Schärfung des Profils und dadurch zu einer flüchtlingsrechtlich relevanten Verfolgungsgefahr führen könnten (E. 5.2).</w:t>
      </w:r>
    </w:p>
    <w:p>
      <w:r>
        <w:rPr>
          <w:b/>
        </w:rPr>
        <w:t>E. 3.4</w:t>
      </w:r>
    </w:p>
    <w:p>
      <w:r>
        <w:t>Asylsuchende Personen müssen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3.5</w:t>
      </w:r>
    </w:p>
    <w:p>
      <w:r>
        <w:t>Die Vorinstanz begründet ihre Verfügung im Asylpunkt im Wesentlichen damit, es sei dem Beschwerdeführer 1 nicht gelungen, glaubhaft zu machen, dass er aus dem eritreischen Militärdienst desertiert sei. Unglaubhaft sei daher auch, dass er sich von 2010 bis zur Ausreise vor den eritreischen Militär- und Verwaltungsbehörden versteckt gehalten habe und dass seine Familie von diesen behelligt worden sei. Die nicht näher substanziierte Furcht der Beschwerdeführerin 2, irgendwann selbst ins Militär eingezogen zu werden, sei praxisgemäss nicht asylrelevant. Zur flüchtlingsrechtlichen Relevanz der illegalen Ausreise führte die Vorinstanz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Die Beschwerdeführerin 2 habe weder den Nationaldienst verweigert noch sei sie desertiert. Auch der Beschwerdeführer 1 könne weder als Refraktär noch als Deserteur bezeichnet werden, zumal sich seine diesbezüglichen Aussagen als unglaubhaft erwiesen hätten. Beide hätten folglich nicht gegen die Proclamation on National Service von 1995 verstossen. Auch sonst lägen keine Hinweise dafür vor, dass sie bei einer Rückkehr nach Eritrea ernsthafte Nachteile zu gewärtigen hätten.</w:t>
      </w:r>
    </w:p>
    <w:p>
      <w:r>
        <w:rPr>
          <w:b/>
        </w:rPr>
        <w:t>E. 3.6</w:t>
      </w:r>
    </w:p>
    <w:p>
      <w:r>
        <w:t>In der Beschwerde werden die vorinstanzlichen Erwägungen zur Unglaubhaftigkeit der Desertion des Beschwerdeführers 1 und zur mangelnden Asylrelevanz einer hypothetischen zukünftigen Einziehung der Beschwerdeführerin 2 in den eritreischen Militärdienst nicht in Frage gestellt. Hingegen wird die Auffassung vertreten, die Vorinstanz habe es zu Unrecht unterlassen, die Glaubhaftigkeit ihrer illegalen Ausreise zu prüfen. Die Beschwerdeführer hätten aufgrund der illegalen Ausreise bei einer Rückkehr nach Eritrea mit ernsthaften Nachteilen zu rechnen und seien daher als Flüchtlinge anzuerkennen. Zudem sei die Vorgehensweise der Vorinstanz bei der Praxisänderung unzulässig gewesen. Wie nachfolgend aufzuzeigen ist, verfangen diese Einwände nicht.</w:t>
      </w:r>
    </w:p>
    <w:p>
      <w:r>
        <w:rPr>
          <w:b/>
        </w:rPr>
        <w:t>E. 3.6.1</w:t>
      </w:r>
    </w:p>
    <w:p>
      <w:r>
        <w:t>Die Frage der flüchtlingsrechtlichen Beurteilung der illegalen Ausreise aus Eritrea ist vom Bundesverwaltungsgericht in einem Koordinationsverfahren mittlerweile geklärt worden. Das Gericht kommt darin zum Schluss, dass allein aufgrund einer illegalen Ausreise keine begründete Furcht vor asylrechtlich beachtlicher Verfolgung angenommen werden könne (ausführlich dazu Urteil des BVGer D-7898/2015 vom 30. Januar 2017, E. 4.6-5.1 [vgl. oben, E. 3.3]). Nachdem die Beschwerdeführer neben der illegalen Ausreise keine zusätzlichen Anknüpfungspunkte für eine Schärfung ihres Profils aufweisen und solche im vorliegenden Beschwerdeverfahren auch nicht behaupten, ist vorliegend nicht von einer asylrechtlich beachtlichen Verfolgung auszugehen.Gemäss konstanter Praxis braucht die Glaubhaftigkeit von Asylvorbringen, die flüchtlingsrechtlich nicht von Relevanz sind, nicht geprüft zu werden (vgl. statt vieler die Urteile des BVGer E-5841/2016 vom 12. Oktober 2016 E. 4 und D-202/2017 vom 13. März 2017 E. 6.3). Die Rüge der Beschwerdeführer, die Vorinstanz habe bezüglich der illegalen Ausreise zu Unrecht auf eine Glaubhaftigkeitsprüfung verzichtet, stösst daher ins Leere.</w:t>
      </w:r>
    </w:p>
    <w:p>
      <w:r>
        <w:rPr>
          <w:b/>
        </w:rPr>
        <w:t>E. 3.6.2</w:t>
      </w:r>
    </w:p>
    <w:p>
      <w:r>
        <w:t>Die vom SEM eingeleitete Praxisänderung wurde mittels einer Medienkonferenz vom 23. Juni 2016 publik gemacht und fand ihren Niederschlag in namhaften Medien (vgl. etwa Neue Zürcher Zeitung [NZZ], Asylbewerber aus Eritrea: Die Praxis wird etwas verschärft, erstellt am 23. Juni 2016; Tages-Anzeiger, Eritrea bestraft nicht mehr so hart wie früher, erstellt am 23. Juni 2016). Auch die SFH nahm in einer Stellungnahme unter dem Titel "Eritreer bei Asylgesuchen strenger beurteilt" vom 27. Juli 2016 Bezug auf die Praxisänderung des SEM vom 23. Juni 2016 und forderte in dieser Publikation gleichzeitig die Rücknahme der Praxisänderung. Mit dem erwähnten Referenzurteil des Bundesverwaltungsgerichts D-7898/2015 vom 30. Januar 2015 wurde die Praxisänderung des SEM mittlerweile bestätigt. Selbst wenn die diesbezügliche Vorgehensweise, insbesondere hinsichtlich des zeitlichen Ablaufs, mit den Zulässigkeitsvoraussetzungen im zitierten BVGE 2010/54 nicht gänzlich korrespondieren sollte und allenfalls die Kassation zur Folge haben müsste, käme vorliegend eine solche einem prozessökonomischen Leerlauf gleich, weshalb von einer Rückweisung der Sache an die Vorinstanz abzusehen ist. Die Begründung in einem neuen Entscheid des SEM bliebe nämlich zu Recht grundsätzlich unverändert. Ebenfalls ist zu berücksichtigen, dass die Beschwerdeführer wegen Unzumutbarkeit des Wegweisungsvollzugs in der Schweiz vorläufig aufgenommen worden sind und sich allfällige zusätzliche Verfahrensschritte somit nicht begünstigend im Sinne einer Verlängerung des Bleiberechts in der Schweiz auswirken würden. Mit anderen Worten entstünden ihnen aufgrund eines diesbezüglichen Mangels keine nicht wiedergutzumachenden Nachteile (vgl. zum Ganzen Urteil des BVGer D-632/2017 vom 23. Februar 2017 E. 5.3).</w:t>
      </w:r>
    </w:p>
    <w:p>
      <w:r>
        <w:rPr>
          <w:b/>
        </w:rPr>
        <w:t>E. 3.7</w:t>
      </w:r>
    </w:p>
    <w:p>
      <w:r>
        <w:t>Wie die Vorinstanz kommt das Gericht zum Schluss, dass die Beschwerdeführer keine begründete Furcht vor ernsthaften Nachteilen im Sinne von Art. 3 AsylG geltend machen können; entsprechend liegen keine subjektiven Nachfluchtgründe im Sinne von Art. 54 AsylG vor. Die Vorinstanz hat die Flüchtlingseigenschaft der Beschwerdeführer zu Recht verneint. Für eine Rückweisung der Sache zu neuer Entscheidung an die Vorinstanz besteht kein Anlass.</w:t>
      </w:r>
    </w:p>
    <w:p>
      <w:r>
        <w:rPr>
          <w:b/>
        </w:rPr>
        <w:t>E. 4</w:t>
      </w:r>
    </w:p>
    <w:p>
      <w:r>
        <w:t>Aus diesen Erwägungen ergibt sich, dass die angefochtene Verfügung Bundesrecht nicht verletzt und den rechtserheblichen Sachverhalt richtig sowie vollständig feststellt (Art. 106 Abs. 1 AsylG). Die Beschwerde ist abzuweisen.Die von der Vorinstanz wegen Unzumutbarkeit des Vollzugs verfügte vorläufige Aufnahme bleibt dadurch unberührt. Da die Wegweisungsvollzugshindernisse alternativer Natur sind (vgl. BVGE 2009/51 E. 5.4 S. 748), besteht - anders als in der Beschwerde vorgebracht - kein schutzwürdiges Interesse an der Überprüfung, aus welchen Gründen die Vorinstanz den Vollzug aufgeschoben hat (Art. 48 Abs. 1 Bst. c VwVG). Auf den Antrag der Beschwerdeführer, die Unzulässigkeit des Wegweisungsvollzugs festzustellen und die vorläufige Aufnahme zu gewähren, ist daher mangels Rechtsschutzinteresse nicht einzutreten.</w:t>
      </w:r>
    </w:p>
    <w:p>
      <w:r>
        <w:rPr>
          <w:b/>
        </w:rPr>
        <w:t>E. 5.1</w:t>
      </w:r>
    </w:p>
    <w:p>
      <w:r>
        <w:t>Bei diesem Ausgang des Verfahrens wären die Kosten den Beschwerdeführern aufzuerlegen (Art. 63 Abs. 1 VwVG; Art. 1-3 des Reglements vom 21. Februar 2008 über die Kosten und Entschädigungen vor dem Bundesverwaltungsgericht [VGKE, SR 173.320.2]). Da ihnen mit Zwischenverfügung vom 21. Dezember 2016 die unentgeltliche Prozessführung gewährt wurde, sind jedoch keine Verfahrenskosten zu erheben.</w:t>
      </w:r>
    </w:p>
    <w:p>
      <w:r>
        <w:rPr>
          <w:b/>
        </w:rPr>
        <w:t>E. 5.2</w:t>
      </w:r>
    </w:p>
    <w:p>
      <w:r>
        <w:t>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VGKE).Die amtliche Rechtsbeiständin hat trotz ausdrücklicher Aufforderung in der Zwischenverfügung vom 21. Dezember 2016 darauf verzichtet, ihren Aufwand nach Abschluss des Schriftenwechsels durch Einreichung einer Kostennote zu substanziieren. Der Aufwand lässt sich jedoch aus den Akten zuverlässig abschätzen, so dass auf die Nachforderung einer Kostennote verzichtet werden kann (Art. 14 Abs. 2 VGKE). Unter Berücksichtigung des Umstands, dass die amtliche Rechtsbeiständin in einem Parallelverfahren eine vergleichbare Rechtsschrift eingereicht hat (vgl. Urteil des BVGer D-202/2017 vom 13. März 2017), ist vorliegend von einem Aufwand von drei Stunden auszugehen. Ausgehend von einem Stundenansatz von Fr. 150.- ist die amtliche Entschädigung auf Fr. 450.-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