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E-7815/2015 vom 9. Januar 2017</w:t>
      </w:r>
    </w:p>
    <w:p>
      <w:r>
        <w:t>Bundesverwaltungsgericht, 2017-01-09, DE</w:t>
      </w:r>
    </w:p>
    <w:p>
      <w:r>
        <w:rPr>
          <w:b/>
        </w:rPr>
        <w:t xml:space="preserve">Quelle: </w:t>
      </w:r>
      <w:r>
        <w:t>https://mcp.opencaselaw.ch/entscheid/bvger_E-7815_2015</w:t>
      </w:r>
    </w:p>
    <w:p>
      <w:r>
        <w:t>FR: TAF E-7815/2015 du 9 janvier 2017</w:t>
      </w:r>
    </w:p>
    <w:p>
      <w:r>
        <w:t>IT: TAF E-7815/2015 del 9 gennaio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insoweit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w:t>
      </w:r>
    </w:p>
    <w:p>
      <w:r>
        <w:rPr>
          <w:b/>
        </w:rPr>
        <w:t>E. 2.2</w:t>
      </w:r>
    </w:p>
    <w:p>
      <w:r>
        <w:t>Wie bereits mit Zwischenverfügung vom 15. Dezember 2015 festgestellt, geht das Gericht davon aus, dass sich die Beschwerde lediglich gegen Dispositiv Ziffer 2 (Asyl) und nicht gegen Dispositiv Ziffer 1 (Erfüllung der Flüchtlingseigenschaft) richtet. Insoweit der Beschwerdeführer beantragt, es sei die Unzulässigkeit der Wegweisungshindernisse festzustellen und er sei in der Folge als Flüchtling aufzunehmen, ist auf die Beschwerde nicht einzutreten. Der Wegweisungsvollzug wurde bereits zugunsten einer vorläufigen Aufnahme aufgeschoben und bildet nicht mehr Gegenstand des Beschwerdeverfahrens.</w:t>
      </w:r>
    </w:p>
    <w:p>
      <w:r>
        <w:rPr>
          <w:b/>
        </w:rPr>
        <w:t>E. 3.1</w:t>
      </w:r>
    </w:p>
    <w:p>
      <w:r>
        <w:t>Gemäss Art. 2 Abs. 1 AsylG gewährt die Schweiz Flüchtlingen grundsätzlich Asyl. Flüchtlingen wird nach Art. 54 AsylG kein Asyl gewährt, wenn sie erst durch ihre Ausreise aus dem Heimat- oder Herkunftsstaat oder wegen ihres Verhaltens nach der Ausreise Flüchtlinge im Sinne von Art. 3 AsylG wurden (subjektive Nachfluchtgründe).</w:t>
      </w:r>
    </w:p>
    <w:p>
      <w:r>
        <w:rPr>
          <w:b/>
        </w:rPr>
        <w:t>E. 3.2</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4</w:t>
      </w:r>
    </w:p>
    <w:p>
      <w:r>
        <w:t>Die Vorinstanz hat den Massstab des Glaubhaftmachens nicht verkannt und auf den vorliegenden Fall korrekt angewendet. Ihre Schlussfolgerungen sind weder in tatsächlicher noch in rechtlicher Hinsicht zu beanstanden. In der angefochtenen Verfügung wird einlässlich begründet, welche Aussagen glaubhaft und welche unglaubhaft ausgefallen sind. So hat die Vorinstanz den Beschwerdeführer aufgrund der schlüssig geschilderten Biografie sowie der glaubhaft gemachten illegalen Ausreise als Flüchtling anerkannt, stellt indes zu Recht die Unglaubhaftigkeit der übrigen Fluchtgeschichte fest. Die Rechtsmitteleingabe erschöpft sich in spärlichen Erklärungsversuchen, womit sie nicht aufzeigt, inwiefern die vorinstanzliche Beweiswürdigung Bundesrecht verletzen oder zu einer rechtsfehlerhaften Sachverhaltsfeststellung führen soll. Solches ist auch nicht ersichtlich. Im Zentrum der Vorfluchtgründe stehen die Festnahmeaktion und die hierbei zugezogene Verletzung. Die Widersprüche hierzu sind jedoch so erheblich, dass der Glaubhaftigkeit der Asylvorbringen der Boden entzogen ist. So soll sich die Festnahme und der dabei erlittene Armbruch gemäss Erstbefragung im August 2012 zugetragen haben (SEM-Akten, A3, S. 8). Gemäss Zweitbefragung soll dies im August 2011 gewesen sein (SEM-Akten, A19, S. 6, F47). Eine plausible Erklärung für diesen Widerspruch blieb aus (SEM-Akten, A19, S. 15, F132). Stattdessen kommen auf Beschwerdeebene weitere Widersprüche hinzu. So wird nicht mehr ein Armbruch, sondern ein Handbruch geltend gemacht und die Festnahme mit Verletzung soll weder im August 2011 noch im August 2012, sondern neuerdings im Oktober 2011 stattgefunden haben (z. B. Beschwerde S. 3). Diese dritte Version erschüttert die Glaubhaftigkeit der Vorbringen vollends. Es ist ohnehin nicht nachvollziehbar, weshalb der Beschwerdeführer nach der langen Zeit in verschiedenen Spitälern nach Sawa zurückkehrt, um von dort in Lebensgefahr durch einen Stacheldraht zu fliehen (z. B. SEM-Akten, A19, S. 12, F102 ff.). Wenn man der Erstbefragung folgt, so kehrte er tatsächlich nicht zur Militärausbildung beziehungsweise Schule zurück, weil er "keine Möglichkeit dazu gehabt hätte", was jedoch einen krassen Widerspruch zu den Fluchterklärungen anlässlich der Zweitbefragung darstellt (SEM-Akten A3, S. 9). Schliesslich lässt eine durch Ärzte festgestellte Arm- oder Handverletzung für sich alleine nicht auf eine Festnahmeaktion beziehungsweise auf eine staatliche Verfolgung schliessen. Um Wiederholungen zu vermeiden, ist auf die zutreffenden vorinstanzlichen Erwägungen zu verweisen. Die Erklärungsversuche auf Beschwerdeebene sind nicht geeignet, am Beweisergebnis etwas zu ändern. Ein "Missverstehen" kann ausgeschlossen werden, zumal der Beschwerdeführer an beiden Befragungen mündlich und schriftlich bestätigte, den Dolmetscher gut verstanden zu haben und auch der Hilfswerksvertretung keine Verständigungsprobleme aufgefallen sind (SEM-Akten, A19, S. 1, S. 19, A3, S. 2 und Unterschriftenblatt der Hilfswerksvertretung SEM-Akten, A19, S. 10). Unter diesen Umständen ist festzustellen, dass der Beschwerdeführer das Vorliegen von Vorfluchtgründen nicht nachzuweisen oder zumindest glaubhaft zu machen vermag. Die Vorinstanz hat das Asylgesuch zu Recht abgelehnt.</w:t>
      </w:r>
    </w:p>
    <w:p>
      <w:r>
        <w:rPr>
          <w:b/>
        </w:rPr>
        <w:t>E. 5</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6</w:t>
      </w:r>
    </w:p>
    <w:p>
      <w:r>
        <w:t>Aus diesen Erwägungen ergibt sich, dass die angefochtene Verfügung Bundesrecht nicht verletzt und auch sonst nicht zu beanstanden ist (Art. 106 AsylG). Die Beschwerde ist abzuweisen, soweit darauf einzutreten ist.</w:t>
      </w:r>
    </w:p>
    <w:p>
      <w:r>
        <w:rPr>
          <w:b/>
        </w:rPr>
        <w:t>E. 7</w:t>
      </w:r>
    </w:p>
    <w:p>
      <w:r>
        <w:t>Es sind keine Verfahrenskosten zu erheben. Die Gesuche um Gewährung der unentgeltlichen Prozessführung und Verzicht der Erhebung eines Kostenvorschusses wurden bereits von der damals zuständigen Richterin mit Zwischenverfügung vom 15. Dezember 2015 gemäss Art. 65 Abs. 1 VwVG gutgeheissen.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