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E-7800/2009 vom 31. Mai 2010</w:t>
      </w:r>
    </w:p>
    <w:p>
      <w:r>
        <w:t>Bundesverwaltungsgericht, 2010-05-31, DE</w:t>
      </w:r>
    </w:p>
    <w:p>
      <w:r>
        <w:rPr>
          <w:b/>
        </w:rPr>
        <w:t xml:space="preserve">Quelle: </w:t>
      </w:r>
      <w:r>
        <w:t>https://mcp.opencaselaw.ch/entscheid/bvger_E-7800_2009</w:t>
      </w:r>
    </w:p>
    <w:p>
      <w:r>
        <w:t>FR: TAF E-7800/2009 du 31 mai 2010</w:t>
      </w:r>
    </w:p>
    <w:p>
      <w:r>
        <w:t>IT: TAF E-7800/2009 del 31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unter nachstehendem Vorbehalt abgewiesen.</w:t>
      </w:r>
    </w:p>
    <w:p>
      <w:r>
        <w:rPr>
          <w:b/>
        </w:rPr>
        <w:t>E. 2</w:t>
      </w:r>
    </w:p>
    <w:p>
      <w:r>
        <w:t>Der Vollzug der Wegweisung der Beschwerdeführerin wird erst nach eingetretener Rechtskraft der allfälligen Anordnung eines Vollzugs der Wegweisung ihres Ehepartners (...) vollstreckbar.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Beschwerdeführerin,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