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E-7790/2015 vom 3. Juli 2017</w:t>
      </w:r>
    </w:p>
    <w:p>
      <w:r>
        <w:t>Bundesverwaltungsgericht, 2017-07-03, DE</w:t>
      </w:r>
    </w:p>
    <w:p>
      <w:r>
        <w:rPr>
          <w:b/>
        </w:rPr>
        <w:t xml:space="preserve">Quelle: </w:t>
      </w:r>
      <w:r>
        <w:t>https://mcp.opencaselaw.ch/entscheid/bvger_E-7790_2015</w:t>
      </w:r>
    </w:p>
    <w:p>
      <w:r>
        <w:t>FR: TAF E-7790/2015 du 3 juillet 2017</w:t>
      </w:r>
    </w:p>
    <w:p>
      <w:r>
        <w:t>IT: TAF E-7790/2015 del 3 luglio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1.3</w:t>
      </w:r>
    </w:p>
    <w:p>
      <w:r>
        <w:t>Über offensichtlich begründete Beschwerden wird in einzelrichterlicher Zuständigkeit mit Zustimmung eines zweiten Richters beziehungsweise einer zweiten Richterin entschieden (Art. 111 Bst. e AsylG). Die vorliegende Beschwerde erweist sich - insbesondere aufgrund der neu ergangenen Rechtsprechung des Bundesverwaltungsgerichts (Urteil D-7853/2015 vom 31. Mai 2017, zur Publikation als Referenzurteil bestimmt) - im Urteilszeitpunkt als solche, weshalb der Beschwerdeentscheid nur summarisch zu begründen ist (Art. 111a Abs. 2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2015/41 E. 3.1).</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 Kann kein Mitgliedstaat gemäss den aufgeführten Kriterien bestimmt werden, ist derjenige Staat zuständig, in welchem das erste Asylgesuch gestellt wurde (Art. 3 Abs. 2 Satz 1 Dublin-III-VO).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Zur Begründung der angefochtenen Verfügung führte das SEM aus, gestützt auf die einschlägigen staatsvertraglichen Bestimmungen (unter anderem: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Dublin-III-VO; Verordnung [EG] Nr. 1560/2003 der Kommission vom 2. September 2003 mit Durchführungsbestimmungen zur Verordnung [EG] Nr. 343/2003 des Rates [DVO Dublin]) sei Ungarn für die Durchführung des Asylverfahrens (nach Art. 18 Abs. 1 Bst. b Dublin-III-VO) zuständig, zumal der Beschwerdeführer gemäss Eurodac am 4. Juni 2015 zuerst in Griechenland und nach seiner Weiterreise via Mazedonien und Serbien später in Ungarn daktyloskopiert worden sei. Die ungarischen Behörden hätten auf das Übernahmeersuchen des SEM nicht reagiert. Ungarn sei Signatarstaat des Abkommens vom 28. Juli 1951 über die Rechtsstellung der Flüchtlinge (FK, SR 0.142.30), der EMRK und des Übereinkommens vom 10. Dezember 1984 gegen Folter und andere grausame, unmenschliche oder erniedrigende Behandlung oder Strafe (FoK, SR 0.105). Es lägen keine konkreten Anhaltspunkte vor, wonach das Land sich nicht an seine völkerrechtlichen Verpflichtungen (insb. das Non-Refoulement-Gebot) halten und das Asyl- und Wegweisungsverfahren nicht korrekt durchführen würde. Ferner lägen keine vorab humanitären Gründe gemäss Art. 29a Abs. 3 AsylV 1 (SR 142.311) in Verbindung mit Art. 17 Abs. 1 Dublin-III-VO (Souveränitätsklausel) vor, die einen Selbsteintritt der Schweiz rechtfertigten. Die Wegweisung stelle die Regelfolge des Nichteintretensentscheides dar und der Wegweisungsvollzug sei zulässig, zumutbar und möglich. Die im Rahmen des rechtlichen Gehörs vom Beschwerdeführer gemachten Einwände würden keine andere Sichtweise begründen. Eine konkrete Gefährdung aufgrund der Mängel des Asylverfahrens und der Aufnahmebedingungen in Ungarn sei nicht ersichtlich.</w:t>
      </w:r>
    </w:p>
    <w:p>
      <w:r>
        <w:rPr>
          <w:b/>
        </w:rPr>
        <w:t>E. 4.2</w:t>
      </w:r>
    </w:p>
    <w:p>
      <w:r>
        <w:t>In seiner Rechtsmitteleingabe behauptet der Beschwerdeführer erneut seine Minderjährigkeit zum Zeitpunkt der Einreichung des Asylgesuchs in der Schweiz, ohne diese jedoch mittels Identitätsdokumenten zu belegen. Weiter argumentiert er, dass die materiellen Voraussetzungen für eine Überstellung nach Ungarn nicht erfüllt seien. Die Vorinstanz sei anzuweisen, vom Selbsteintrittsrecht Gebrauch zu machen. Es müsse davon ausgegangen werden, dass Asylsuchende in Ungarn unmenschlicher und erniedrigender Behandlung, insbesondere rechtswidriger Inhaftierung, Misshandlungen in Haft und der Gefahr von Kettenabschiebungen ausgesetzt seien. Das dortige Asylverfahren und die Aufnahmebedingungen seien gemäss verschiedenen Berichten von systemischen Mängeln geprägt; die Asylgesuche von Dublin-Rückkehrenden würden von den ungarischen Behörden kaum fair behandelt und die Asylheime seien überfüllt. Seit einer am 1. August 2015 in Kraft getretenen und im Widerspruch zu internationalen Verpflichtungen stehenden Gesetzesänderung würden Asylgesuche in einem Schnellverfahren und ohne eingehende individuelle Prüfung abgewiesen. Zudem habe Ungarn Serbien, aus welchem Land er nach Ungarn gelangt sei, neu als sicheres Drittland eingestuft, was vom Amt des Hohen Flüchtlingskommissars der Vereinten Nationen (UNHCR), Amnesty International und Human Rights Watch scharf kritisiert werde. Es dürfe keinesfalls davon ausgegangen werden, Ungarn komme seinen völkerrechtlichen Verpflichtungen grundsätzlich nach.</w:t>
      </w:r>
    </w:p>
    <w:p>
      <w:r>
        <w:rPr>
          <w:b/>
        </w:rPr>
        <w:t>E. 5.1</w:t>
      </w:r>
    </w:p>
    <w:p>
      <w:r>
        <w:t>Ein Abgleich der Fingerabdrücke des Beschwerdeführers mit der "Eurodac"-Datenbank ergab, dass er am 4. Juni 2015 in Griechenland illegal in das Hoheitsgebiet der Dublin-Mitgliedstaaten eingereist war. Über Mazedonien und Serbien gelangte er nach Ungarn, wo er erneut daktyloskopiert worden sei. Die ungarischen Behörden liessen das Übernahmeersuchen des SEM innert der in Art. 22 Dublin-III-VO vorgesehenen Frist unbeantwortet, womit sie die Zuständigkeit Ungarns implizit anerkannten (Art. 22 Abs. 7 Dublin-III-VO).</w:t>
      </w:r>
    </w:p>
    <w:p>
      <w:r>
        <w:rPr>
          <w:b/>
        </w:rPr>
        <w:t>E. 5.2</w:t>
      </w:r>
    </w:p>
    <w:p>
      <w:r>
        <w:t>Im Lichte von Art. 3 Abs. 2 Dublin-III-VO ist zu prüfen, ob es wesentliche Gründe für die Annahme gibt, das Asylverfahren und die Aufnahmebedingungen für Asylsuchende in Ungarn würden systemische Schwachstellen aufweisen, welche eine Gefahr einer unmenschlichen oder entwürdigenden Behandlung im Sinne des Art. 4 der EU-Grundrechtecharta mit sich bringen und folglich die grundsätzliche Zuständigkeit Ungarns im Sinne von Art. 3 Abs. 1 Dublin-III-VO durchbrechen würden. Das Bundesverwaltungsgericht hat im bereits erwähnten UrteilD-7853/2015 vom 31. Mai 2017 eingehend die Entwicklung der Situation für Asylsuchende in Ungarn, insbesondere für jene, die in Anwendung der Dublin-III-VO nach Ungarn überstellt werden, analysiert, unter Berücksichtigung des bedeutenden Migrationsstroms, welchen das Land im Sommer 2015 zu gewärtigen hatte. Es hat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laufenden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Bundesverwaltungsgericht gemäss dem derzeitigen Stand der Dinge nicht möglich, das Vorliegen systemischer Schwachstellen im Sinne von Art. 3 Abs. 2 Dublin-III-VO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Staatssekretariat für Migration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 E. 13 des Urteils). Mit derselben Begründung ist es dem Gericht auch im vorliegenden Fall nicht möglich, die Vorbringen in der Beschwerde zu beurteilen. Die angefochtene Verfügung ist folglich aufzuheben und die Sache zur vollständigen Sachverhaltsfeststellung sowie zu neuer Entscheidung an die Vorinstanz zurückzuweisen. Die Beschwerdeakten bilden dabei ebenfalls Prozessstoff des wieder aufzunehmenden vorinstanzlichen Verfahrens. Die Beschwerde ist daher hinsichtlich des Kassationsantrages gutzuheissen. Es erübrigt sich, auf den Inhalt der Beschwerde näher einzugehen.</w:t>
      </w:r>
    </w:p>
    <w:p>
      <w:r>
        <w:rPr>
          <w:b/>
        </w:rPr>
        <w:t>E. 6.1</w:t>
      </w:r>
    </w:p>
    <w:p>
      <w:r>
        <w:t>Bei diesem Ausgang des Verfahrens sind keine Kosten zu erheben (Art. 63 Abs. 1 und 2 sowie Art. 65 Abs. 1 VwVG).</w:t>
      </w:r>
    </w:p>
    <w:p>
      <w:r>
        <w:rPr>
          <w:b/>
        </w:rPr>
        <w:t>E. 6.2</w:t>
      </w:r>
    </w:p>
    <w:p>
      <w:r>
        <w:t>Gemäss Art. 64 Abs. 1 VwVG in Verbindung mit Art. 37 VGG kann der obsiegenden Partei von Amtes wegen oder auf Begehren eine Entschädigung für die ihr erwachsenen notwendigen und verhältnismässig hohen Kosten zugesprochen werden (vgl. Art. 7 ff. des Reglements über die Kosten und Entschädigungen vor dem Bundesverwaltungsgericht vom 21. Februar 2008 [VGKE, SR 173.320.2]). Die Rechtsvertreterin des Beschwerdeführers hat am 1. Dezember 2015 eine Kostennote in der Höhe von Fr. 1'400.- (inkl. Auslagen und Mehrwertsteuer) eingereicht. Der geltend gemachte Aufwand von fünf Stunden ist als überhöht zu beurteilen, zumal die Beschwerde grossteils Ausführungen zur allgemeinen Situation in Ungarn beinhaltet und diese von der Rechtsvertreterin in diversen ähnlich gelagerten Beschwerden verwendet worden sind. Die Parteientschädigung, welche durch die Vorinstanz zu entrichten ist, ist auf gesamthaft Fr. 1'000.- festzusetzen.</w:t>
      </w:r>
    </w:p>
    <w:p>
      <w:r>
        <w:rPr>
          <w:b/>
        </w:rPr>
        <w:t>E. 6.3</w:t>
      </w:r>
    </w:p>
    <w:p>
      <w:r>
        <w:t>Es erübrigt sich somit auf die Begehren um unentgeltliche Prozessführung, Verzicht auf Kostenvorschuss, amtliche Rechtsverbeiständung und Gewährung der aufschiebenden Wirkung der Beschwerde einzugehen.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