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E-7781/2006 vom 5. Januar 2011</w:t>
      </w:r>
    </w:p>
    <w:p>
      <w:r>
        <w:t>Bundesverwaltungsgericht, 2011-01-05, DE</w:t>
      </w:r>
    </w:p>
    <w:p>
      <w:r>
        <w:rPr>
          <w:b/>
        </w:rPr>
        <w:t xml:space="preserve">Quelle: </w:t>
      </w:r>
      <w:r>
        <w:t>https://mcp.opencaselaw.ch/entscheid/bvger_E-7781_2006</w:t>
      </w:r>
    </w:p>
    <w:p>
      <w:r>
        <w:t>FR: TAF E-7781/2006 du 5 janvier 2011</w:t>
      </w:r>
    </w:p>
    <w:p>
      <w:r>
        <w:t>IT: TAF E-7781/2006 del 5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im Wesent­lichen aus, dass die Ausführungen des Beschwerdeführers hinsichtlich der angeblich nach der Rückkehr in seinen Herkunftsort im Januar 2005 erlittenen Verfolgung als unglaubhaft zu erachten seien. So habe er keine Angaben zu seinen persönlichen Empfindungen und seinem Erleben anlässlich der Inhaftierung vom 15./16. Juli 2006 gemacht und habe die Aufgabenteilung der beim Verhör anwesenden Personen nicht erwähnt. Ferner sei er nicht im Stande gewesen, den Wochentag der Festnahme zu nennen. Das diesbezüglich eingereichte Be­stäti­gungsschreiben des Parlamentariers B._______enthalte keine konkreten Angaben bezüglich seiner Festnahme und auch dem Schreiben des Rechtsanwalts komme auf­grund dessen offensichtlicher Nähe zur Fami­lie des Beschwerdeführers kein massgeblicher Be­weiswert zu. Ein weiterer Hinweis auf die Unglaub­haftigkeit der Vor­bringen des Beschwerdeführers sei darin zu sehen, dass er das Datum der letzten Festnahme durch die Sicherheitskräfte vor dem 15. Juli 2006 nicht habe nennen können. Im Weiteren seien die vom Beschwerdeführer vorgebrachten Verfolgungsmassnahmen regional be­schränkt, und er verfüge in anderen Landesteilen, namentlich im Gross­raum Colombo, über eine zumutbare innerstaatliche Flucht­alternative. Hinsichtlich des Wegweisungsvollzugs sei zwar aufgrund des Konflikts zwischen der LTTE und der sri-lankischen Regierung die Rückkehr in den Norden Sri Lankas stark erschwert. Jedoch sei es dem Beschwerdeführer zumutbar, sich im Grossraum Colombo niederzulassen, wo er als jun­ger und gesunder Mann, welcher über eine gute Schulausbildung ver­füge, gute Integrationschancen habe. Zudem könne er auf die Unter­stützung seiner wohlhabenden Familie zählen und pflege nach eige­nen Angaben Kontakt zu einem in Colombo lebenden Freund.</w:t>
      </w:r>
    </w:p>
    <w:p>
      <w:r>
        <w:rPr>
          <w:b/>
        </w:rPr>
        <w:t>E. 4.2</w:t>
      </w:r>
    </w:p>
    <w:p>
      <w:r>
        <w:t>Der Beschwerdeführer stellte sich zur Begründung seiner Beschwer­de auf den Standpunkt, er habe entgegen der Einschätzung des Bun­desamts den Ablauf der Festnahme und Folter vom 15./16. Juli 2006 durchaus detailliert geschildert. Es müsse berücksichtigt werden, dass das Zeigen von Emotionen seinem Charakter widerspreche und dass viele Folteropfer ihre traumatischen Erlebnisse zu verdrängen versuchten und diese mit grosser emotionaler Distanz schildern wür­den. Angesichts der akuten Stresssituation, in welcher er sich befun­den habe, könne von ihm nicht erwartet werden, genauere Angaben zu den Rollen der beim Verhör anwesenden Personen zu machen, insbesondere angesichts der erlebten Folter sowie des Umstands, dass ihm zeitweise die Augen ver­bunden beziehungsweise eine Tüte über den Kopf gestülpt worden sei. Angesichts seines Arbeitsalltags sei entschuldbar, dass er den Wochen­tag seiner Fest­nahme nicht habe nennen können. Es sei ebenso nach­vollziehbar, dass er sich nicht an das Datum der vorangegangenen Fest­nahmen erinnern kön­ne, zumal diese angesichts der Schwere der Inhaftierung vom Juli 2006 in den Hintergrund getreten seien. Das Schrei­ben des Rechts­anwalts habe durchaus einen Beweiswert, wäre das Anwalts­büro doch gar nicht eingeschaltet worden, falls er nicht festge­nommen worden wäre. Im Weiteren sei der Wegweisungsvollzug ins gesamte Gebiet Sri Lankas als unzumutbar zu erachten, zumal er mit weiteren Fest­nahmen rechnen müsse und die Lage allgemein schlecht sei. Aufgrund seiner tamilischen Herkunft müsse er auch in Colombo mit weiteren Verfolgungen rechnen. Zudem habe er die Schule abgebrochen und verfüge über keine Berufsbildung.</w:t>
      </w:r>
    </w:p>
    <w:p>
      <w:r>
        <w:rPr>
          <w:b/>
        </w:rPr>
        <w:t>E. 5.1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S. 67 ff.).</w:t>
      </w:r>
    </w:p>
    <w:p>
      <w:r>
        <w:rPr>
          <w:b/>
        </w:rPr>
        <w:t>E. 5.2</w:t>
      </w:r>
    </w:p>
    <w:p>
      <w:r>
        <w:t>In Anwendung dieser Massstäbe gelangt das Gericht zu folgenden Schlüssen: Zunächst ergibt eine Durchsicht der Befragungsprotokolle, dass der Be­schwerdeführer entgegen der Auffassung der Vorinstanz den Ablauf des am 15./16. Juli 2006 erlebten Verhörs und der Folterungen in zu erwar­tender Ausführlichkeit und Detailliertheit geschildert hat und seine Aus­führungen durchaus realitätsnah erscheinen. Zudem erscheinen die vom Beschwerdeführer vorgebrachten Umstände dieser Ver­haftung sowie auch der vorangegangenen kurzzeitigen Festnahmen vor dem Hinter­grund der damaligen Situation in seiner Her­kunftsregion realis­tisch und plausibel. Die ungenaue zeitliche Ein­ordnung der vorherigen Repressa­lien durch die Sicherheits­kräfte sowie die fehlende Angabe des Wochen­tags der Inhaftierung vermögen nicht die Vorbringen des Beschwer­de­führers insgesamt als unglaubhaft erscheinen zu lassen. Den beiden vom Beschwerdeführer zu den Akten gereichten Bestäti­gungs­schreiben ist zwar ein reduzierter Beweiswert beizumessen, da zum einen das Schrei­ben des Rechtsanwalts nur in Kopie vorliegt und zum anderen das Schreiben des Parlamentariers B._______auf den Aussagen des Beschwer­de­führers beruhen dürfte. Dennoch können diese Dokumente als Indiz für die Glaubhaftigkeit der Aussagen des Beschwerdeführers bewertet wer­den.</w:t>
      </w:r>
    </w:p>
    <w:p>
      <w:r>
        <w:rPr>
          <w:b/>
        </w:rPr>
        <w:t>E. 5.3</w:t>
      </w:r>
    </w:p>
    <w:p>
      <w:r>
        <w:t>Insgesamt gelangt das Gericht im Rahmen einer Gesamt­wür­di­gung zum Schluss, dass die Vorinstanz die vom Beschwerde­führer vorge­brachten Repressalien durch die sri-lankischen Sicher­heitskräfte zu Unrecht als unglaubhaft erachtet hat.</w:t>
      </w:r>
    </w:p>
    <w:p>
      <w:r>
        <w:rPr>
          <w:b/>
        </w:rPr>
        <w:t>E. 6.1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Die Anerkennung der Flüchtlingseigenschaft setzt zudem voraus, dass die betroffene Person einer landesweiten Verfolgung ausgesetzt ist und sich nicht in einem anderen Teil ihres Heimatstaates in Schutz bringen kann (EMARK 2006 Nr. 18).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Entschei­dend ist somit, ob die Verfolgung heute noch andauert oder die Furcht vor Verfolgung aktuell noch begründet erscheint. Dabei ist eine allenfalls ein­getretene Veränderung der objektiven Situation im Heimatland seit der Ausreise zu berück­sichtigen (vgl. BVGE 2008/12 E. 5.2 S. 154 f., mit weiteren Hinweisen).</w:t>
      </w:r>
    </w:p>
    <w:p>
      <w:r>
        <w:rPr>
          <w:b/>
        </w:rPr>
        <w:t>E. 6.2</w:t>
      </w:r>
    </w:p>
    <w:p>
      <w:r>
        <w:t>Im Mai 2009 hat die sri-lankischen Armee einen endgültigen mili­tä­rischen Sieg über die LTTE errungen und das von dieser kontrollierte Gebiet eingenommen. Somit ist das gesamte Staatsgebiet Sri Lankas nunmehr unter der Kontrolle der Regierungskräfte. Die Sicherheits- und Menschenrechtslage ist auch nach dem Krieg noch in manchen Berei­chen nicht befriedigend und präsentiert sich regional unter­schied­lich. Im Norden und Osten Sri Lankas gibt es eine fort­dauernde starke Präsenz der Sicherheitskräfte und insbesondere die tamilische Bevölkerung ist nach wie vor ein Ziel von Sicherheitsmass­nahmen im ganzen Land. Die Sicherheitsmassnahmen werden nur langsam gelo­ckert und die Not­standsgesetze (Emergency Regulations) sowie das Anti-Terror-Gesetz (Prevention of Terrorism Act) bleiben weiterhin in Kraft. Der Opposition verdächtigte Personen sind dabei in erhöhtem Masse gefährdet, Opfer von Verfolgung und von Menschenrechtsverletzungen zu werden. Na­ment­lich wurden nach Beendigung des Bürgerkrieges zahlreiche Per­sonen, welche der Zusammenarbeit mit oder der Unterstützung der LTTE verdächtigt wurden, festgenommen und gemäss verschiedenen Berichten werden immer noch mehrere tausend ehemalige vermeintliche LTTE-Mit­glieder in geschlossenen Rehabilitations-Camps festgehalten (vgl. zum Ganzen: Rainer Mattern, Schweizerische Flüchtlingshilfe [SFH], Sri Lanka Aktuelle Situation, Update, Bern, 1. Dezember 2010, Danish Immigration Service, Human Rights and Security Issues concerning Tamils in Sri Lan­ka, Oktober 2010; UNHCR-Richtlinien zur Feststellung des interna­tio­na­len Schutzbedarfs sri-lankischer Asyl­suchender, 5. Juli 2010).</w:t>
      </w:r>
    </w:p>
    <w:p>
      <w:r>
        <w:rPr>
          <w:b/>
        </w:rPr>
        <w:t>E. 6.3</w:t>
      </w:r>
    </w:p>
    <w:p>
      <w:r>
        <w:t>Unter Berücksichtigung dieser Entwicklungen ist im Falle des Be­schwerdeführers nicht von einem erheblichen Risikoprofil auszu­ge­hen, das ihn aktuell aus objektiver Sicht als gefährdet erscheinen liesse, zumal keine Hinweise dafür vorliegen, dass er in einer besonderen Ver­bindung zur LTTE stehen würde. Die vom Beschwerdeführer vor dem Juli 2006 erlebten mehrfachen kurzzeitigen Festnahmen stellen mangels hinreichender Intensität kei­ne asylrechtlich relevante Verfolgung dar. Der Umstand, dass er von den Sicher­heitskräften jeweils nach kurzer Zeit wieder freigelassen wurde, weist zudem darauf hin, dass es sich nicht um gezielte Über­griffe handelte. Dasselbe gilt auch für seine Inhaftierung vom 15./16. Juli 2006, welche gemäss seinen Aus­führungen nur erfolgte, weil er sich zufälli­gerweise zum Zeit­punkt eines Anschlags auf ein Armeecamp in der Nähe des Tatorts aufhielt. Es kann aufgrund seiner nach einem Tag erfolgten bedingungslosen Frei­lassung davon ausge­gangen wer­den, dass aus Sicht der Behörden kein begründeter Ver­dacht der Beteiligung des Beschwerdeführers an diesem Angriff mehr besteht. Demnach kann aus den vom Beschwerdeführer vor seiner Ausreise erlittenen Behelligungen nicht auf eine im heutigen Zeitpunkt weiterbestehende begründete Furcht vor Verfolgung im Sinne von Art. 3 AsylG geschlossen werden. Auch der Aufenthalt des Beschwerdeführers im Vanni-Gebiet und der Umstand, dass sein Vater im Jahre 1998 wäh­rend mehrerer Monate aufgrund des Vorwurfs der Unterstützung der LTTE inhaftiert wurde, dürf­ten nicht geeignet sein, die besondere Auf­merksamkeit der sri-lankischen Regierungskräfte zu erregen, zumal nicht aktenkundig ist, dass seine Angehörigen, insbesondere sein Va­ter, in der Folge irgendwelche weitere Repressalien seitens der Behör­den erlitten hätten. Zudem ist davon auszugehen, dass die sri-lan­ki­schen Behörden nicht darin interessiert sind, sämtliche Zivilisten, wel­che früher im Herrschaftsgebiet der LTTE gelebt haben und damit auto­ma­tisch gezwungen waren, in irgendeiner Weise mit dieser zu koo­pe­rie­ren, weiterhin zu belästigen. Ihr Ziel besteht vielmehr darin, ins­be­son­dere versprengte ehemalige Kämpfer und Kaderangehörige der LTTE dingfest zu machen, um dergestalt eine Neu­formierung der LTTE zu erschweren.</w:t>
      </w:r>
    </w:p>
    <w:p>
      <w:r>
        <w:rPr>
          <w:b/>
        </w:rPr>
        <w:t>E. 6.4</w:t>
      </w:r>
    </w:p>
    <w:p>
      <w:r>
        <w:t>Bei dieser Sachlage und in Würdigung der gesamten Umstände und Vorbringen des Beschwerdeführers ist zusammenfassend festzu­stellen, dass er keine Gründe nach Art. 3 AsylG nachweisen oder glaubhaft machen kann und damit die Voraussetzungen für die Zuer­kennung der Flüchtlingseigenschaft nicht erfüllt sind. Die Vor­instanz hat demnach zu Recht das Asylgesuch des Beschwerde­führers abgelehnt und ihm die Flüchtlingseigenschaft nicht zuerkannt.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7.4</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 Weil sich vorliegend der Vollzug der Wegweisung aus den nach­folgend auf­ge­zeigten Gründen als unzumutbar erweist, kann auf eine Erörterung der beiden anderen Kriterien - insbesondere der Zulässig­keit des Weg­wei­sungsvollzuges - verzichtet werden.</w:t>
      </w:r>
    </w:p>
    <w:p>
      <w:r>
        <w:rPr>
          <w:b/>
        </w:rPr>
        <w:t>E. 7.5.1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7.5.2</w:t>
      </w:r>
    </w:p>
    <w:p>
      <w:r>
        <w:t>Das Bundesverwaltungsgericht nahm im Urteil BVGE 2008/2 zur Frage der Zumutbarkeit des Wegweisungsvollzugs abgewiesener Asyl­suchender tamilischer Ethnie eine Lageanalyse vor. Gemäss der dies­bezüglich festgelegten Praxis gilt der Vollzug der Wegweisung in die Nordprovinz und in die Ostprovinz als unzumutbar (a.a.O. E. 6). Sodann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w:t>
      </w:r>
    </w:p>
    <w:p>
      <w:r>
        <w:rPr>
          <w:b/>
        </w:rPr>
        <w:t>E. 7.5.3</w:t>
      </w:r>
    </w:p>
    <w:p>
      <w:r>
        <w:t>Seit Ergehen dieses Grundsatzurteils hat sich die Sicherheits­situ­ation in Sri Lanka zwar stabilisiert, sie bleibt aber weiterhin fragil. Der Krieg ist im militärischen Sinn beendet worden, doch sind zum heutigen Zeitpunkt die Bedeutung und Tragweite dieser Entwicklung noch nicht vollumfänglich absehbar, und die eingetretene Verbesserung der allge­meinen Lage kann derzeit noch nicht als nachhaltig und dauerhaft einge­stuft werden. Bei einer allfälligen Neubeurteilung der Situation ist daher derzeit noch Zurückhaltung angezeigt, und es rechtfertigt sich, an der im Entscheid BVGE 2008/2 skizzierten Praxis derzeit festzuhalten.</w:t>
      </w:r>
    </w:p>
    <w:p>
      <w:r>
        <w:rPr>
          <w:b/>
        </w:rPr>
        <w:t>E. 7.5.4</w:t>
      </w:r>
    </w:p>
    <w:p>
      <w:r>
        <w:t>Der Beschwerdeführer lebte gemäss seinen Aussagen bis zum August 2006 in (...), Nordprovinz beziehungsweise im Vanni Gebiet und ist deshalb im Sinne der zitierten Rechtsprechung als Tami­le anzusehen, der aus der Nord- oder der Ostprovinz stammt. Eine Rück­kehr dorthin ist angesichts der oben skizzierten Recht­spre­chung als nicht zumutbar zu erachten.</w:t>
      </w:r>
    </w:p>
    <w:p>
      <w:r>
        <w:rPr>
          <w:b/>
        </w:rPr>
        <w:t>E. 7.5.5</w:t>
      </w:r>
    </w:p>
    <w:p>
      <w:r>
        <w:t>Gemäss Aktenlage hat der Beschwerdeführer sich lediglich zehn Tage vor seiner Ausreise in Colombo aufgehalten. Auch seine Fami­lien­angehörigen sind alle in seinem Herkunftsort (...) wohn­haft. Den Akten kann nicht entnommen werden, dass er im Grossraum Colom­bo über Verwandte und damit über ihm nahe­stehende Personen mit einem Anwesenheitsrecht verfügt. Zwar hat der Beschwerdeführer nach eigenen Aussagen einen Bekannten in Colombo, welchem er sei­ne Iden­titätskarte und den Geburtsschein vor der Ausreise übergab und der ihm den Geburtsschein in die Schweiz zustellte. Eine nähere Beziehung zu dieser Person ist nicht akten­kundig, weshalb nicht ohne Weiteres davon ausgegangen werden kann, dass er auf dessen Unter­stützung bei der Reintegration im Heimatland zählen könnte. Zudem ist aufgrund seiner mehrjährigen Landesabwesenheit zweifelhaft, ob die­ser Bekannte immer noch in Colombo lebt und ob der Beschwer­de­führer diese Beziehung - gegebenenfalls - wieder aufleben lassen könn­te. Das Krite­rium des Vorhandenseins eines tragfähigen Bezie­hungsnetzes ausserhalb der Heimatregion ist demnach angesichts der Aktenlage zu verneinen. Es kann unter diesen Umständen nicht als gesichert gelten, dass der kein Singhalesisch sprechende (vgl. act. A17, S. 2) und nur in der Landwirt­schaft über berufliche Erfahrung verfügende Beschwerdeführer im Falle der Rückkehr im Grossraum Colombo auf ein tragfähiges Beziehungsnetz zurückgreifen kann und Aussichten auf eine gesicherte Einkommens- und Wohnsituation hat. Sodann ist frag­lich, ob und in welchem Umfang seine Verwandten ihm bei einer Rückkehr die notwendige (finanzielle) Unter­stützung bieten könnten. Das Vor­liegen besonders begünstigender Fak­toren, insbesondere die Existenz eines tragfähigen familiären oder sozia­len Beziehungsnetzes und die Aussichten auf eine gesicherte Ein­kom­mens- und Wohnsituation, ist vor­liegend zu ver­neinen. Es ist demzufolge festzustellen, dass dem Beschwerdeführer innerhalb seines Hei­matlan­des keine zumutbare Aufenthaltsalternative zur Verfügung steht. Unter diesen Umständen erweist sich der Vollzug der Wegweisung des Beschwerdeführers nach Sri Lanka praxisgemäss als unzu­mut­bar im Sinne von Art. 83 Abs. 4 AuG. Nachdem sich aus den Akten keine Hin­weise auf das Vorliegen von Ausschlussgründen im Sinne von Art. 83 Abs. 7 AuG ergeben, sind die Voraussetzungen für die Anordnung der vorläufigen Aufnahme erfüllt.</w:t>
      </w:r>
    </w:p>
    <w:p>
      <w:r>
        <w:rPr>
          <w:b/>
        </w:rPr>
        <w:t>E. 8</w:t>
      </w:r>
    </w:p>
    <w:p>
      <w:r>
        <w:t>Nach dem Gesagten ist die Beschwerde, soweit den Vollzug der Weg­weisung betreffend, gutzuheissen und die Dispositivziffern 4 und 5 der vorinstanzlichen Verfügung vom 17. November 2006 sind aufzu­heben. Im Übrigen ist die Beschwerde abzuweisen. Das BFM wird ange­wie­sen, den Beschwerdeführer wegen Unzumutbarkeit des Wegwei­sungs­vollzugs vorläufig in der Schweiz aufzunehmen (vgl. Art. 44 Abs. 2 AsylG und Art. 83 Abs. 4 AuG).</w:t>
      </w:r>
    </w:p>
    <w:p>
      <w:r>
        <w:rPr>
          <w:b/>
        </w:rPr>
        <w:t>E. 9</w:t>
      </w:r>
    </w:p>
    <w:p>
      <w:r>
        <w:t>Bei diesem Ausgang des Verfahrens sind die um die Hälfte zu redu­zie­renden Verfahrenskosten von Fr. 300.- dem Beschwerdeführer auf­zu­erlegen (Art. 63 Abs. 1 VwVG).</w:t>
      </w:r>
    </w:p>
    <w:p>
      <w:r>
        <w:rPr>
          <w:b/>
        </w:rPr>
        <w:t>E. 10</w:t>
      </w:r>
    </w:p>
    <w:p>
      <w:r>
        <w:t>Sodann ist dem vertretenen Beschwerdeführer angesichts seines teil­wie­sen Obsiegens in Anwendung von Art. 64 VwVG und Art. 7 Abs. 1 des Reglements vom 21. Februar 2008 über die Kosten und Ent­schä­digungen vor dem Bundesverwaltungsgericht (VGKE, SR 173.320.2) eine praxisge­mäss um die Hälfte reduzierte Entschädigung für die ihm notwendi­ger­weise erwachsenen Parteikosten zuzu­sprechen. Diese wird unter Berück­sichtigung der als angemessen zu erachtenden Kostennote seines Rechtsvertreters vom 15. Dezember 2010 auf Fr. 775.40 (inklusive Aus­lagen und Mehrwertsteueranteil) festgesetzt.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