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E-7780/2016 vom 11. März 2019</w:t>
      </w:r>
    </w:p>
    <w:p>
      <w:r>
        <w:t>Bundesverwaltungsgericht, 2019-03-11, DE</w:t>
      </w:r>
    </w:p>
    <w:p>
      <w:r>
        <w:rPr>
          <w:b/>
        </w:rPr>
        <w:t xml:space="preserve">Quelle: </w:t>
      </w:r>
      <w:r>
        <w:t>https://mcp.opencaselaw.ch/entscheid/bvger_E-7780_2016</w:t>
      </w:r>
    </w:p>
    <w:p>
      <w:r>
        <w:t>FR: TAF E-7780/2016 du 11 mars 2019</w:t>
      </w:r>
    </w:p>
    <w:p>
      <w:r>
        <w:t>IT: TAF E-7780/2016 del 11 marzo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2.3</w:t>
      </w:r>
    </w:p>
    <w:p>
      <w:r>
        <w:t>Dass die Gesuche des Beschwerdeführers um unentgeltliche Prozessführung und Beiordnung einer amtlichen Rechtsbeiständin gutgeheissen wurden, die Beschwerde also im Zeitpunkt der Beschwerdeerhebung als nicht aussichtslos eingestuft wurde (vgl. Art. 65 Abs. 1 VwVG), steht einer Abweisung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Dies ist vorliegend der Fall.</w:t>
      </w:r>
    </w:p>
    <w:p>
      <w:r>
        <w:rPr>
          <w:b/>
        </w:rPr>
        <w:t>E. 2.4</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abweisenden Asylentscheid damit, der Beschwerdeführer habe seinen Ausgangspunkt der illegalen Ausreise widersprüchlich geschildert. Wenig genau sei auch der Ablauf der Ausreise ausgefallen. Höchst eigentümlich und unglaubhaft sei, dass er nicht einmal den vollständigen Namen seines Fluchthelfers von Eritrea nach Äthiopien kennen würde, obwohl es sich dabei um einen langjährigen Freund handle. Er habe keine militärische Vorladung erhalten und weder den Nationaldienst verweigert, noch sei er aus diesem desertiert. Somit habe er nicht gegen die Proclamation on National Service von 1995 verstossen und den Akten sei auch sonst nichts zu entnehmen, wonach er bei einer Rückkehr nach Eritrea ernsthafte Nachteile zu gewärtigen hätte. Seine Vorbringen bezüglich der illegalen Ausreise seien deshalb nicht asylrelevant. Einem Wegweisungsvollzug würden keine Hindernisse entgegenstehen.</w:t>
      </w:r>
    </w:p>
    <w:p>
      <w:r>
        <w:rPr>
          <w:b/>
        </w:rPr>
        <w:t>E. 4.2</w:t>
      </w:r>
    </w:p>
    <w:p>
      <w:r>
        <w:t>Der Beschwerdeführer macht geltend, die Praxisänderung der Vor-instanz betreffend die illegale Ausreise aus Eritrea sei unzulässig. Es würden keine neuen Herkunftsländerinformationen vorliegen und die Vor-instanz sei an die Rechtsprechung des Bundesverwaltungsgerichts gebunden, wonach die illegale Ausreise einen subjektiven Nachfluchtgrund darstelle. Bezugnehmend auf die geänderte Rechtsprechung des Bundesverwaltungsgerichts führt der Beschwerdeführer in seiner Beschwerdeergänzung aus, er lebe seit nunmehr etwas mehr als drei Jahren in der Schweiz und spreche gut Deutsch. In einem Malerbetrieb habe er eine Vorlehre absolvieren können. Die Schweiz sei zum Mittelpunkt seiner Lebensführung geworden und er habe hier seine prägenden Lebensjahre verbracht. Der Wegweisungsvollzug sei deshalb unzumutbar und er sei zumindest vorläufig aufzunehmen.</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 Der Beschwerdeführer führte an den Befragungen aus, er habe sich weder einem Aufgebot zum Nationaldienst widersetzt, noch sei er aus dem Nationaldienst desertiert. Er habe kein Aufgebot für den Nationaldienst erhalten und sei deswegen auch nie von den Behörden kontaktiert worden. Diese Angaben werden in der Beschwerdeschrift nicht bestritten. Es ist somit davon auszugehen, dass der Beschwerdeführer von den eritreischen Behörden nicht als Dienstverweigerer angesehen wird.</w:t>
      </w:r>
    </w:p>
    <w:p>
      <w:r>
        <w:rPr>
          <w:b/>
        </w:rPr>
        <w:t>E. 5.2</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 Das Bundesverwaltungsgericht stützte mit obigem Urteil die Praxisänderung der Vorinstanz, wonach die illegale Ausreise aus Eritrea ohne weitere Anknüpfungspunkte keine flüchtlingsrechtliche Relevanz aufweist. Der Einwand des Beschwerdeführers, die vorinstanzliche Praxisänderung sei unzulässig, erweist sich somit als unbegründet. Der Beschwerdeführer hatte keinerlei Kontakt mit der eritreischen Militärverwaltung, womit nebst der illegalen Ausreise keine zusätzlichen Anknüpfungspunkte vorliegen, welche ihn in den Augen des eritreischen Regimes als missliebige Person erscheinen lassen beziehungsweise zu einer Schärfung seines Profils und dadurch zu einer flüchtlingsrechtlich relevanten Verfolgungsgefahr führen könnten. Dem Beschwerdeführer ist es somit nicht gelungen, eine relevante Verfolgungsgefahr im Sinne von Art. 3 respektive Art. 54 AsylG darzutun. Die Vorinstanz hat seine Flüchtlingseigenschaft zu Recht verneint.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7.3.2</w:t>
      </w:r>
    </w:p>
    <w:p>
      <w:r>
        <w:t>Gemäss Art. 25 Abs. 3 BV, Art. 3 FoK und Art. 3 EMRK darf niemand der Folter oder unmenschlicher oder erniedrigender Strafe oder Behandlung unterworfen werden.</w:t>
      </w:r>
    </w:p>
    <w:p>
      <w:r>
        <w:rPr>
          <w:b/>
        </w:rPr>
        <w:t>E. 7.3.3</w:t>
      </w:r>
    </w:p>
    <w:p>
      <w:r>
        <w:t>Das Bundesverwaltungsgericht klärte im Grundsatzurteil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7.3.4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 dem ernsthaften Risiko ausgesetzt wäre, selbst solche Übergriffe zu erleiden. Es besteht daher kein ernsthaftes Risiko einer Verletzung von Art. 3 EMRK im Falle einer Einziehung in den eritreischen Nationaldienst (vgl. E. 6.1.6).</w:t>
      </w:r>
    </w:p>
    <w:p>
      <w:r>
        <w:rPr>
          <w:b/>
        </w:rPr>
        <w:t>E. 7.3.5</w:t>
      </w:r>
    </w:p>
    <w:p>
      <w:r>
        <w:t>Aus den Akten ergeben sich keine weiteren Gründe für die Annahme der Unzulässigkeit des Wegweisungsvollzugs. Der Wegweisungsvollzug ist folglich als zulässig zu betrachten.</w:t>
      </w:r>
    </w:p>
    <w:p>
      <w:r>
        <w:rPr>
          <w:b/>
        </w:rPr>
        <w:t>E. 7.4</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7.4.2</w:t>
      </w:r>
    </w:p>
    <w:p>
      <w:r>
        <w:t>Das Bundesverwaltungsgericht hat sich sodann im bereits zitierten Grundsatzurteil E-5022/2017 vom 10. Juli 2018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nicht generell zur Feststellung der Unzumutbarkeit des Wegweisungsvollzugs gemäss Art. 83 Abs. 4 AIG führt (vgl. a.a.O. E. 6.2).</w:t>
      </w:r>
    </w:p>
    <w:p>
      <w:r>
        <w:rPr>
          <w:b/>
        </w:rPr>
        <w:t>E. 7.4.3</w:t>
      </w:r>
    </w:p>
    <w:p>
      <w:r>
        <w:t>Beim Beschwerdeführer handelt es sich um einen jungen, gesunden Mann mit einer achtjährigen Schulbildung. In seiner Heimat verfügt er über ein familiäres Beziehungsnetz (Eltern, Geschwister und Verwandte). Seine Familie ist in der Landwirtschaft tätig und konnte ihm die Ausreise finanzieren. Es ist davon auszugehen, dass er bei einer Rückkehr wieder bei seiner Familie wohnen kann und sie ihn bei seiner sozialen und wirtschaftlichen Wiedereingliederung unterstützen wird. Seine geltend gemachte Integration in der Schweiz vermag an dieser Einschätzung nichts zu ändern. Der Beschwerdeführer reiste im Alter von (...) Jahren in die Schweiz ein, weshalb sein dreijähriger Aufenthalt nicht als lebensprägend einzustufen ist. Der Vollzug der Wegweisung erweist sich somit auch in individueller Hinsicht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Mit Zwischenverfügung vom 4. Januar 2017 wurde indes das Gesuch um Gewährung der unentgeltlichen Prozessführung gutgeheissen. Dem Beschwerdeführer sind deshalb trotz Unterliegens keine Verfahrenskosten aufzuerlegen.</w:t>
      </w:r>
    </w:p>
    <w:p>
      <w:r>
        <w:rPr>
          <w:b/>
        </w:rPr>
        <w:t>E. 9.2</w:t>
      </w:r>
    </w:p>
    <w:p>
      <w:r>
        <w:t>Das Gesuch um Bestellung einer unentgeltlichen Rechtsbeiständin im Sinne von aArt. 110a Abs. 1 AsylG wurde mit Zwischenverfügung vom 4. Januar 2017 ebenfalls gutgeheissen und dem Beschwerdeführer die rubrizierte Rechtsvertreterin als amtliche Rechtsbeiständin beigeordnet. Die notwendigerweise erwachsenen Parteikosten sind deshalb durch das Bundesverwaltungsgericht zu übernehmen (vgl. aArt. 110a Abs. 1 AsylG i.V.m. Art. 9-14 VGKE). Nach Praxis des Gerichts werden amtlich bestellte Rechtsvertreterinnen ohne Anwaltspatent mit einem Stundensatz von Fr. 100.- bis 150.- entschädigt (vgl. Art. 12 i.V.m. Art. 10 Abs. 2 VGKE). Der mit Honorarnote vom 13. Dezember 2016 geltend gemachte Aufwand von 6.5 Stunden erscheint angemessen. Hingegen erscheint der Aufwand gemäss Honorarnote vom 8. August 2018 (Beschwerdeergänzung) von 3 Stunden zu hoch und ist auf 2 Stunden festzusetzen. Die Spesenpauschale ist nur einmalig zu berücksichtigen. Gestützt auf die in Betracht zu ziehenden Bemessungsfaktoren (Art. 9-13 VGKE) ist der Rechtsbeiständin zu Lasten des Bundesverwaltungsgerichts ein Honorar von insgesamt Fr. 1'426.10 (Fr. 1'053.- [inkl. MwSt. von 8 %] zuzüglich Fr. 323.10 [inkl. MwSt. von 7,7 %] sowie Spesenpauschale von Fr. 50.-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