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E-7777/2016 vom 21. Dezember 2016</w:t>
      </w:r>
    </w:p>
    <w:p>
      <w:r>
        <w:t>Bundesverwaltungsgericht, 2016-12-21, DE</w:t>
      </w:r>
    </w:p>
    <w:p>
      <w:r>
        <w:rPr>
          <w:b/>
        </w:rPr>
        <w:t xml:space="preserve">Quelle: </w:t>
      </w:r>
      <w:r>
        <w:t>https://mcp.opencaselaw.ch/entscheid/bvger_E-7777_2016</w:t>
      </w:r>
    </w:p>
    <w:p>
      <w:r>
        <w:t>FR: TAF E-7777/2016 du 21 décembre 2016</w:t>
      </w:r>
    </w:p>
    <w:p>
      <w:r>
        <w:t>IT: TAF E-7777/2016 del 21 dicembre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insoweit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Aus diesem Grund ist auf den Antrag des Beschwerdeführers, ihm sei in der Schweiz Asyl zu gewähren, nicht einzutreten.</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Italien sei für die Durchführung des Asyl- und Wegweisungsverfahrens zuständig. In Italiens Asyl- und Aufnahmesystem würden keine systemischen Mängel vorliegen und es sei nicht davon auszugehen, dass der Beschwerdeführer bei einer Überstellung gravierenden Menschenrechtsverletzungen ausgesetzt werde. Italien sei ein Rechtsstaat, welcher über eine funktionierende Polizeibehörde verfüge, die sowohl schutzwillig als auch schutzfähig sei. Bei Problemen mit Privatpersonen oder einzelnen Polizeibeamten könne er sich an die zuständigen staatlichen Stellen wenden. Es gebe keine Gründe für die Anwendung der Souveränitätsklausel.</w:t>
      </w:r>
    </w:p>
    <w:p>
      <w:r>
        <w:rPr>
          <w:b/>
        </w:rPr>
        <w:t>E. 4.2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4.2.1</w:t>
      </w:r>
    </w:p>
    <w:p>
      <w:r>
        <w:t>Die Vorinstanz hat aufgrund der Aussagen des Beschwerdeführers und des Eurodac-Treffers zu Recht die Zuständigkeit Italiens erkannt und die italienischen Behörden - gestützt auf Art. 13 Abs. 1 Dublin-III-VO - um Übernahme ersucht. Italien hat hierzu innert Frist keine Stellung genommen, womit die grundsätzliche Zuständigkeit Italiens für die Durchführung des Asyl- und Wegweisungsverfahrens feststeht.</w:t>
      </w:r>
    </w:p>
    <w:p>
      <w:r>
        <w:rPr>
          <w:b/>
        </w:rPr>
        <w:t>E. 4.2.2</w:t>
      </w:r>
    </w:p>
    <w:p>
      <w:r>
        <w:t>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 Mängel an Unterstützung und Einrichtungen für Asylsuchende fest (vgl. Urteil des EGMR Mohammed Hussein und andere gegen Niederlande vom 2. April 2013, 27725/10; siehe zu Italien auch: Urteil des EGMR A.S. gegen Schweiz vom 30. Juni 2015, 39350/13). Art. 3 Abs. 2 Satz 2 Dublin-III-VO greift nicht. Es liegen auch keine Anhaltspunkte dafür vor, dass Italien im vorliegenden Fall seine staatsvertraglichen Verpflichtungen missachten würde und der Beschwerdeführer einer menschenunwürdigen oder erniedrigenden Behandlung ausgesetzt wäre (Art. 3 EMRK). Gleiches gilt für die in der Beschwerde vorgebrachte angebliche Verletzung des Non-Refoulement-Gebots, welche der Beschwerdeführer jedoch weder konkretisiert noch substantiiert. Bezüglich der vorgebrachten Gefahr, die ihm in Italien durch Schlepper drohe, ist auf die zutreffende Erwägung in der angefochtenen Verfügung zu verweisen, wonach er sich in Italien an die zuständigen Behörden wenden könne, welche schutzfähig und schutzwillig seien.</w:t>
      </w:r>
    </w:p>
    <w:p>
      <w:r>
        <w:rPr>
          <w:b/>
        </w:rPr>
        <w:t>E. 4.3</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Für eine Rückweisung der Sache an die Vorinstanz besteht nach dem Gesagten kein Anlass. Die Beschwerde ist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seine Begehren als aussichtslos zu gelten haben, kann den Gesuchen um Gewährung der unentgeltlichen Prozessführung und der unentgeltlichen Rechtsverbeiständung nicht stattgegeben werden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