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E-7772/2024 vom 13. Januar 2025</w:t>
      </w:r>
    </w:p>
    <w:p>
      <w:r>
        <w:t>Bundesverwaltungsgericht, 2025-01-13, DE</w:t>
      </w:r>
    </w:p>
    <w:p>
      <w:r>
        <w:rPr>
          <w:b/>
        </w:rPr>
        <w:t xml:space="preserve">Quelle: </w:t>
      </w:r>
      <w:r>
        <w:t>https://mcp.opencaselaw.ch/entscheid/bvger_E-7772_2024</w:t>
      </w:r>
    </w:p>
    <w:p>
      <w:r>
        <w:t>FR: TAF E-7772/2024 du 13 janvier 2025</w:t>
      </w:r>
    </w:p>
    <w:p>
      <w:r>
        <w:t>IT: TAF E-7772/2024 del 13 gennaio 2025</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Der Be- schwerdeführer ist als Verfügungsadressat zur Beschwerde legitimiert (Art. 48 Abs. 1 VwVG). Auf die frist- und formgerecht eingereichte Be- 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AsylG).</w:t>
      </w:r>
    </w:p>
    <w:p>
      <w:r>
        <w:t>E-7772/2024 Seite 5 Das Bundesverwaltungsgericht hat die Anforderungen an das Glaubhaft- machen der Vorbringen in verschiedenen Entscheiden dargelegt und folgt dabei ständiger Praxis. Darauf kann hier verwiesen werden (vgl. BVGE 2015/3 E. 6.5.1, BVGE 2012/5 E. 2.2).</w:t>
      </w:r>
    </w:p>
    <w:p>
      <w:r>
        <w:rPr>
          <w:b/>
        </w:rPr>
        <w:t>E. 4</w:t>
      </w:r>
    </w:p>
    <w:p>
      <w:r>
        <w:t>In der angefochtenen Verfügung führt die Vorinstanz aus, die Schilderun- gen des Beschwerdeführers zu seiner Homosexualität sowie der daraus fliessenden Probleme seien weitgehend stereotyp, oberflächlich und ohne persönlichen Bezug ausgefallen, obwohl ihm mehrfach Gelegenheit einge- räumt worden sei, diese Vorbringen frei zu schildern. Ferner sei er Fragen bisweilen ausgewichen. Insbesondere sei die Beschreibung der Situation, in welcher er und R. vom Onkel überrascht worden sein sollen, unsubstan- tiiert und nicht überzeugend ausgefallen. Auch die Schilderungen zur Ver- urteilung im Rahmen der Versammlung seien oberflächlich, substanzarm und ohne persönlichen Bezug geblieben. Gleiches sei bezüglich der Dar- stellung seiner Beziehung zu R. sowie der Bewusstwerdung seiner Homo- sexualität festzustellen. Insbesondere würden seine Angaben nicht den Eindruck einer tiefgehenden Verbindung sowie lang gelebten Freundschaft und romantisch-sexuellen Verbindung zu R. erwecken. Sodann sei nicht plausibel, dass er, nachdem seine Beziehung zu R. bereits einmal entdeckt worden sei, sich nicht vorsichtiger verhalten und die Familie nach der ers- ten Entdeckung die Beziehung nicht zu unterbinden versucht habe. Ferner sei nicht nachvollziehbar, dass er nach der Verurteilung in einer Weise ver- wahrt worden sein soll, welche ihm relativ leicht ein Entkommen und gar die Behändigung seines Reisepasses erlaubte – dies auch vor dem Hin- tergrund des verhängten Strafmasses. Weiter seien die Beschreibungen der Vorfälle bisweilen widersprüchlich oder ungenau ausgefallen. Insge- samt gelange die Vorinstanz deshalb zum Schluss, dass sich der Be- schwerdeführer bei seinen Schilderungen auf einen konstruierten Sachver- halt sowie nicht auf tatsächlich Erlebtes stütze und er seine Fluchtvorbrin- gen damit nicht habe glaubhaft machen können.</w:t>
      </w:r>
    </w:p>
    <w:p>
      <w:r>
        <w:rPr>
          <w:b/>
        </w:rPr>
        <w:t>E. 5</w:t>
      </w:r>
    </w:p>
    <w:p>
      <w:r>
        <w:t>Der Beschwerdeführer macht in der Rechtsmitteleingabe im Wesentlichen geltend, bei der Würdigung seiner Vorbringen sei zu berücksichtigen, dass er aufgrund des politischen und kulturellen Hintergrunds sowie der persön- lichen Sozialisation nicht frei über Homosexualität sprechen könne. Die Ho- mosexualität an sich stelle die Vorinstanz denn auch nicht in Abrede. Er habe an mehreren Stellen in der Anhörung angemessen sowie genau und detailliert Auskunft geben können. Insbesondere sei der freie Bericht drei</w:t>
      </w:r>
    </w:p>
    <w:p>
      <w:r>
        <w:t>E-7772/2024 Seite 6 Seiten lang, die Aussagen detailliert und ohne Brüche oder Widersprüche und auf Nachfrage seien zusätzliche Details geschildert worden. Dass er ferner Aspekte geschildert habe, welche für die Beurteilung der Flüchtlings- eigenschaft nicht nötig gewesen wären, spreche für die Glaubhaftigkeit sei- ner Vorbringen. Gleiches gelte für den Umstand, dass die Darstellungen bisweilen aussergewöhnlich, teilweise undurchsichtig und nicht einfach nachvollziehbar seien, da jemand mit Täuschungsabsicht eine Geschichte wählen würde, welche auf den ersten Blick plausibel erscheine. Sodann sei unberücksichtigt geblieben, dass Homosexualität in Pakistan unter To- desstrafe stehe und er deshalb Hemmungen bei seinen Ausführungen ge- habt habe, ihm diesbezüglich auch das Vokabular fehle und somit nach- vollziehbar sei, dass er bei Nachfragen nichts habe sagen wollen. Ferner habe die Vorinstanz nicht berücksichtigt, dass seinen Vorbringen zahlrei- che Realkennzeichen entnommen werden könnten, welche unter anderem psychische Vorgänge oder glaubhafte Handlungsabläufe enthalten wür- den. Die Vorinstanz habe es unterlassen, diese Realkennzeichen in ihrer Gesamtheit zu würdigen, sondern diese einzeln nacheinander Verworfen. Weiter gehe die Vorinstanz im Zusammenhang mit seiner Sexualität sowie seines Beziehungslebens von einer Reflektiertheit und Bewusstwerdung aus, welche nicht auf ihn als einen pakistanisch sozialisierten Menschen anwendbar sei. Schliesslich sei lediglich per E-Mail die Information einge- holt worden, ob er angesichts seiner geschlechtsspezifischen Verfolgung ein reines Männerteam bei der Befragung wünsche oder nicht. Anlässlich der Anhörung habe man sich jedoch diesbezüglich nicht persönlich bei ihm erkundigt, was eine Verletzung des rechtlichen Gehörs darstelle.</w:t>
      </w:r>
    </w:p>
    <w:p>
      <w:r>
        <w:rPr>
          <w:b/>
        </w:rPr>
        <w:t>E. 6</w:t>
      </w:r>
    </w:p>
    <w:p>
      <w:r>
        <w:t>In der Vernehmlassung führt die Vorinstanz aus, entgegen der Darstellung in der Beschwerde erachte sie die Vorbringen, unter anderem im Zusam- menhang mit der Verurteilung zum Tode, nicht als genügend detailliert. Ebenso wenig treffe zu, dass sie die Homosexualität des Beschwerdefüh- rers nicht bestreite, zumal sie festgehalten habe, dass die Aussagen zum Coming-Out des Beschwerdeführers nicht glaubhaft seien, womit als logi- sche Folge auch die Homosexualität nicht glaubhaft sei. Fragen zur Be- wusstwerdung seiner Sexualität sei er ausgewichen. Weiter sei der per- sönliche und kulturelle Hintergrund des Beschwerdeführers bei der Würdi- gung der Vorbringen genügend berücksichtigt und eigentliche Fragen zu Details aus seinem Sexualleben seien nicht gestellt worden. Entgegen der in der Rechtsmitteleingabe vertretenen Ansicht habe der Beschwerdefüh- rer seine Gefühle, die Beziehung zu R, den Beginn der Beziehung, die bei- den Momente der Entdeckung und das Gespräch mit dem Imam keinesfalls</w:t>
      </w:r>
    </w:p>
    <w:p>
      <w:r>
        <w:t>E-7772/2024 Seite 7 in einer Art und Weise geschildert, die darauf schliessen lassen würde, dass er über Selbsterlebtes berichte. Entgegen dem Einwand in der Be- schwerde, es habe sich um eine vornehmlich sexuelle Beziehung gehan- delt, habe der Beschwerdeführer selbst von Liebe gesprochen. Da er fer- ner angegeben habe, über das Thema gelesen und von der ablehnenden Haltung der Gesellschaft bereits in der Schule gewusst zu haben, könne durchaus eine gewisse Reflektiertheit bezüglich seiner sexuellen Orientie- rung erwartet werden. Des Weiteren lege er nicht substantiiert dar, inwie- fern in den vorinstanzlichen Erwägungen keine Gesamtbetrachtung der Realkennzeichen erfolgt sein soll. Schliesslich sei darauf hinzuweisen, dass das SEM im Vorfeld zur Anhörung die eindeutige Antwort erhalten habe, dass für den Beschwerdeführer die Zusammensetzung des Teams nicht relevant sei, wobei sich die Fachspezialistin vor Beginn der Anhörung diesbezüglich ein weiteres Mal bei der Rechtsvertretung erkundigt habe. Dem Anhörungsprotokoll könne darüber hinaus entnommen werde, dass auch der Beschwerdeführer erklärt habe, dass ihm die Zusammensetzung des Anhörungsteams nicht wichtig sei und er über alle Details habe spre- chen können.</w:t>
      </w:r>
    </w:p>
    <w:p>
      <w:r>
        <w:rPr>
          <w:b/>
        </w:rPr>
        <w:t>E. 7.1</w:t>
      </w:r>
    </w:p>
    <w:p>
      <w:r>
        <w:t>Die vom Beschwerdeführer erhobene Rüge der Verletzung des rechtli- chen Gehörs wegen Nichtbeachtung des Gebots der Anhörung durch eine Person gleichen Geschlechts bei geschlechtsspezifischer Verfolgung (vgl. Art. 6 der Asylverordnung 1 vom 11. August 1999 [AsylV 1, SR 142.311]) ist vorab zu behandeln, da sie geeignet sein könnte, eine Kassation der vorinstanzlichen Verfügung zu bewirken. In Übereinstimmung mit den Ausführungen der Vorinstanz im Rahmen der Vernehmlassung kann den Akten entnommen werden, dass die Rechtsver- tretung nach durchgeführter Befragung zur Person angefragt wurde, ob der Beschwerdeführer bevorzuge, von einem reinen Männerteam angehört zu werden. Die Rechtsvertretung antwortete, der Beschwerdeführer sei expli- zit darauf angesprochen worden und die Teamzusammensetzung spiele ihm keine Rolle. Sodann bestätigte er anlässlich der Anhörung selber, dass ihm nicht wichtig sei von einem reinen Männerteam angehört zu werden und dass er sich über sämtliche relevanten Elemente seiner Fluchtvorbrin- gen habe äussern können (vgl. SEM-Akten A21/22 F131 ff., A22/1). Inso- fern hat der Beschwerdeführer rechtsgültig auf seinen Anspruch auf Anhö- rung durch ein Team gleichen Geschlechts im Sinne von Art. 6 AsylV 1 ver- zichtet (zur Möglichkeit des Verzichts, vgl. statt vieler: Urteil des BVGer D-</w:t>
      </w:r>
    </w:p>
    <w:p>
      <w:r>
        <w:t>E-7772/2024 Seite 8 2566/2024 vom 23. Mai 2024 E. 4.2 m.w.H.). Die Rüge der Verletzung des rechtlichen Gehörs erweist sich damit als unbegründet.</w:t>
      </w:r>
    </w:p>
    <w:p>
      <w:r>
        <w:rPr>
          <w:b/>
        </w:rPr>
        <w:t>E. 7.2</w:t>
      </w:r>
    </w:p>
    <w:p>
      <w:r>
        <w:t>Soweit die Vorinstanz in der angefochtenen Verfügung unter anderem zum Schluss gelangt, die Vorbringen des Beschwerdeführers betreffend seine Homosexualität sowie zur Beziehung zu R. seien nicht glaubhaft aus- gefallen, ist diese Ansicht durch das Gericht zu stützen. Die Schilderungen, wie er und R. sich nähergekommen sein sollen, die charakterliche Be- schreibung von R. und die Darlegung, was dem Beschwerdeführer an R. besonders gefallen habe, bleiben oberflächlich, knapp und allgemein (vgl. SEM-Akten A21/22, F48 ff.). Auch wenn zu berücksichtigen ist, dass der Prozess der Bewusstwerdung der eigenen Homosexualität komplex und gegenüber Dritten allenfalls nur schwer zu beschreiben ist, fällt vorliegend auf, dass der Beschwerdeführer im erstinstanzlichen Verfahren an mehre- ren Stellen die Entwicklung seiner sexuellen Orientierung insbesondere mit dem Zwang erklärt, seine Cousine heiraten zu müssen (vgl. a.a.O. F43, F50). Dabei ist einerseits fraglich, ob seine Familie die geltend gemachte Absicht der Verheiratung tatsächlich ernsthaft vorantrieb, lebte der Be- schwerdeführer doch bis zu seiner Ausreise als Junggeselle. Andererseits bildet der Umstand des Druckes mit Hinblick auf die Heirat keine – zumin- dest nicht aus sich selbst heraus – nachvollziehbare Erklärung, weshalb dies für die Entwicklung seiner Homosexualität entscheidend gewesen sein soll, hätte er sich doch gerade so gut für andere Frauen interessieren können. Auch ist festzustellen, dass in der Rechtsmitteleingabe dieser Um- stand nicht mehr als Grund für seine Homosexualität erwähnt oder weiter erläutert wird. In dieser Hinsicht bleibt die Darlegung der inneren Bewusst- werdung der sexuellen Orientierung des Beschwerdeführers nicht nur un- substantiiert, sondern bis zu einem gewissen Grad auch unplausibel. Zu diesem Ergebnis leistet der Umstand, dass er eine einfache Sprache ver- wendet und keine intimen Details vorträgt, nach Auffassung Gerichts kei- nen massgeblichen Beitrag. Insofern vermag er aus den Hinweisen auf den kulturellen Hintergrund, die persönliche Sozialisation und allenfalls damit zusammenhängende Hemmungen bei der Schilderung der Fluchtgründe vorliegend nichts zu seinen Gunsten abzuleiten. Sodann wird der Argumentation der Vorinstanz, es sei angesichts der dra- konischen Strafe nur schwer nachvollziehbar, weshalb der Beschwerde- führer in sein Zimmer eingesperrt worden sei, aus welchem er relativ leicht habe fliehen können und wo sich sogar sein Pass befunden habe (vgl. a.a.O. 72 f.), in der Rechtsmitteleingabe nichts Substantiiertes entgegen- gesetzt. Ferner wird von Seiten des Beschwerdeführers auch in keiner</w:t>
      </w:r>
    </w:p>
    <w:p>
      <w:r>
        <w:t>E-7772/2024 Seite 9 Weise angedeutet, die Familie könnte ihm aus Mitleid absichtlich ein leich- tes Entkommen ermöglicht haben. Dies geht insbesondere auch nicht aus der Erzähllogik hervor, da er gemäss seinen Angaben beabsichtig habe, gegen seine Eltern mittels eines Anwalts rechtlich vorzugehen, weil sie mit seinem Tod einverstanden gewesen sein sollen (vgl. a.a.O. F97 ff.). Auch stimmt das Gericht der Vorinstanz darin zu, dass nicht nachvollziehbar ist, dass der Beschwerdeführer, nachdem er und R. bereits einmal erwischt worden sein und unter Beobachtung des Onkels gestanden haben sollen, beim zweiten Mal am gleichen Ort nochmals ertappt wurden, weil sie wie- derum die Türe nicht abgeschlossen hätten beziehungsweise diesbezüg- lich nicht erhöhte Vorsicht walten liessen (vgl. a.a.O. F75 ff.). Dies ist umso mehr unplausibel, da nach dem ersten Vorfall das ganze Dorf von der gleichgeschlechtlichen Beziehung gewusst und den Beschwerdeführer ge- hasst haben soll. Auch wird in der angefochtenen Verfügung zutreffend da- rauf hingewiesen, dass der Beschwerdeführer – in widersprüchlicher Weise – an einer Stelle erklärt, beim zweiten Mal seien sie vom Onkel er- wischt worden (vgl. a.a.O. F43) und an anderer Stelle ausführt, sie seien vom Onkel und dem Vater erwischt worden (vgl. a.a.O. F75 ff.). Für das Gericht ergibt sich bereits aus den vorstehend dargelegten Inkon- sistenzen in den Vorbringen des Beschwerdeführers, dass er diese im Er- gebnis nicht glaubhaft machen kann, weshalb auf weitere Themenkreise (insbesondere Frage der Glaubhaftigkeit der Schilderung der Verurteilung anlässlich der Versammlung sowie Glaubhaftigkeitsfragen betreffend Schilderung, wie er und R. von den Angehörigen überrascht worden sein sollen) nicht vertieft einzugehen ist. Ergänzungshalber ist festzuhalten, dass das vorgebrachte Argument, die Undurchsichtigkeit sowie erschwerte Nachvollziehbarkeit der Vorbringen sei gerade Indiz für die Glaubhaftigkeit, da jemand mit Täuschungsabsicht eine simple und einfach nachvollzieh- bare Fluchtgeschichte vortragen würde, in dieser pauschalen Form nicht zu überzeugen vermag. Auch der Umstand, dass der Beschwerdeführer auf Nachfrage Erzählelemente aus der freien Schilderung konkretisiert hat und die in der Rechtsmitteleingabe erwähnten Realkennzeichen vermögen die dargelegten Inkonsistenzen in den Fluchtvorbringen im Ergebnis nicht aufzuwiegen.</w:t>
      </w:r>
    </w:p>
    <w:p>
      <w:r>
        <w:rPr>
          <w:b/>
        </w:rPr>
        <w:t>E. 7.3</w:t>
      </w:r>
    </w:p>
    <w:p>
      <w:r>
        <w:t>Zusammenfassend ist festzuhalten, dass das SEM die Flüchtlingsei- genschaft des Beschwerdeführers zu Recht verneint und sein Asylgesuch abgelehnt hat.</w:t>
      </w:r>
    </w:p>
    <w:p>
      <w:r>
        <w:rPr>
          <w:b/>
        </w:rPr>
        <w:t>E. 8</w:t>
      </w:r>
    </w:p>
    <w:p>
      <w:r>
        <w:t>E-7772/2024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kann der in Art. 5 AsylG verankerte Grundsatz der Nichtrückschiebung im vorliegen- den Verfahren keine Anwendung finden.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 same, unmenschliche oder erniedrigende Behandlung oder Strafe (FoK, SR 0.105) verbotenen Strafe oder Behandlung ausgesetzt wäre. Auch die allgemeine Menschenrechtssituation in Pakistan lässt den Wegweisungs- 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E-7772/2024 Seite 11</w:t>
      </w:r>
    </w:p>
    <w:p>
      <w:r>
        <w:rPr>
          <w:b/>
        </w:rPr>
        <w:t>E. 9.3.2</w:t>
      </w:r>
    </w:p>
    <w:p>
      <w:r>
        <w:t>Die Vorinstanz hält in der angefochtenen Verfügung zur Zumutbarkeit fest, betreffend die vom Beschwerdeführer geltend gemachte (…) habe während seines mehrwöchigen Aufenthalts im Transitbereich keine Be- handlung stattgefunden und eine Überweisung an einen externen Facharzt zwecks weiterer Abklärungen sei offensichtlich nicht notwendig gewesen. In antizipierter Beweiswürdigung könne denn auf weitere Abklärungen ver- zichtet werden. Die psychiatrische und medizinische Grundversorgung sei in Pakistan gewährleistet. Sodann handle es sich beim Beschwerdeführer um einen jungen, arbeitsfähigen Mann mit guter Schulbildung und mehr- jähriger Berufserfahrung, (…). Es sei ihm zuzumuten, eine neue Existenz aufzubauen. Dabei könne er auch auf seine Bereitschaft, im Ausland auf sich alleine gestellt ein neues Leben zu beginnen, und die damit zum Aus- druck gebrachte Flexibilität zurückgreifen.</w:t>
      </w:r>
    </w:p>
    <w:p>
      <w:r>
        <w:rPr>
          <w:b/>
        </w:rPr>
        <w:t>E. 9.3.3</w:t>
      </w:r>
    </w:p>
    <w:p>
      <w:r>
        <w:t>In Pakistan herrscht nach konstanter Rechtsprechung, trotz teilweise angespannter Lage, keine landesweite Situation allgemeiner Gewalt, die zur Annahme führen müsste, jede dorthin zurückkehrende Person sei mit erheblicher Wahrscheinlichkeit konkret gefährdet (vgl. zuletzt: Urteil des BVGer D-7941/2024 vom 19. Dezember 2024 E. 9.3 m.w.H.). Der Rechtsmitteleingabe äussert sich der rechtlich vertretene Beschwer- deführer nicht – auch nicht zu den im erstinstanzlichen Verfahren geltend gemachten gesundheitlichen Beeinträchtigungen – zur individuellen Zu- mutbarkeit des Wegweisungsvollzuges. Um Wiederholungen zu vermei- den, kann deshalb auf die zutreffenden Ausführungen der Vorinstanz ver- wiesen werden.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E-7772/2024 Seite 12 sowie vollständig feststellt (Art. 106 Abs. 1 AsylG) und – soweit diesbezüg- lich überprüfbar – angemessen ist. Die Beschwerde ist abzuweisen.</w:t>
      </w:r>
    </w:p>
    <w:p>
      <w:r>
        <w:rPr>
          <w:b/>
        </w:rPr>
        <w:t>E. 11.1</w:t>
      </w:r>
    </w:p>
    <w:p>
      <w:r>
        <w:t>In der Zwischenverfügung vom 16. Dezember 2024 wurde festge- stellt, dass die Begehren des Beschwerdeführers aufgrund einer summari- schen Prüfung nicht aussichtslos seien, jedoch alleine zufolge des Umstan- des, dass er sich im Transitbereich des Flughafens B._______ aufhalte und eine vorläufige Unterstützung erhalte, nicht auf dessen prozessuale Be- dürftigkeit zu schliessen und diese zum Zeitpunkt des Verfügungserlasses nicht ausgewiesen sei. Da der rechtlich vertretene Beschwerdeführer in der Zwischenzeit keine weiteren Nachweise zu seiner behaupteten Bedürftig- keit erbrachte, ist diese auch im Urteilszeitpunt nicht ausgewiesen. Somit fehlt es an einer Voraussetzung zur Gewährung der unentgeltlichen Pro- zessführung (vgl. Art. 65 Abs. 1 VwVG), womit das entsprechende Gesuch abzuweisen ist.</w:t>
      </w:r>
    </w:p>
    <w:p>
      <w:r>
        <w:rPr>
          <w:b/>
        </w:rPr>
        <w:t>E. 11.2</w:t>
      </w:r>
    </w:p>
    <w:p>
      <w:r>
        <w:t>Bei diesem Ausgang des Verfahrens sind die Verfahrenskosten dem Beschwerdeführer aufzuerlegen (Art. 63 Abs. 1 VwVG) und auf Fr. 750.– festzusetzen (Art. 1–3 des Reglements vom 21. Februar 2008 über die Kosten und Entschädigungen vor dem Bundesverwaltungsgericht [VGKE; SR 173.320.2]). (Dispositiv nächste Seite)</w:t>
      </w:r>
    </w:p>
    <w:p>
      <w:r>
        <w:t>E-7772/2024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