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E-7771/2010 vom 22. Juni 2011</w:t>
      </w:r>
    </w:p>
    <w:p>
      <w:r>
        <w:t>Bundesverwaltungsgericht, 2011-06-22, DE</w:t>
      </w:r>
    </w:p>
    <w:p>
      <w:r>
        <w:rPr>
          <w:b/>
        </w:rPr>
        <w:t xml:space="preserve">Quelle: </w:t>
      </w:r>
      <w:r>
        <w:t>https://mcp.opencaselaw.ch/entscheid/bvger_E-7771_2010</w:t>
      </w:r>
    </w:p>
    <w:p>
      <w:r>
        <w:t>FR: TAF E-7771/2010 du 22 juin 2011</w:t>
      </w:r>
    </w:p>
    <w:p>
      <w:r>
        <w:t>IT: TAF E-7771/2010 del 22 giugno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gutgeheissen.</w:t>
      </w:r>
    </w:p>
    <w:p>
      <w:r>
        <w:rPr>
          <w:b/>
        </w:rPr>
        <w:t>E. 2</w:t>
      </w:r>
    </w:p>
    <w:p>
      <w:r>
        <w:t>Die Vorinstanz wird angewiesen, den Selbsteintritt in der Schweiz gemäss Art. 3 Abs. 2 Dublin-II-VO auszusprechen und das ordentliche Asylverfahren des Beschwerdeführers in der Schweiz durchzuführen.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Das BFM wird angewiesen, dem Beschwerdeführer für das Verfahren vor dem Bundesverwaltungsgericht eine Parteientschädigung von Fr. 800.- auszurichten.</w:t>
      </w:r>
    </w:p>
    <w:p>
      <w:r>
        <w:rPr>
          <w:b/>
        </w:rPr>
        <w:t>E. 5</w:t>
      </w:r>
    </w:p>
    <w:p>
      <w:r>
        <w:t>Dieses Urteil geht an den Beschwerdeführer, das BFM und die kantonale Migrationsbehörde. Der vorsitzende Richter: Der Gerichtsschreiber: Markus König Rudolf Bindschedler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