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E-7770/2024 vom 31. März 2025</w:t>
      </w:r>
    </w:p>
    <w:p>
      <w:r>
        <w:t>Bundesverwaltungsgericht, 2025-03-31, DE</w:t>
      </w:r>
    </w:p>
    <w:p>
      <w:r>
        <w:rPr>
          <w:b/>
        </w:rPr>
        <w:t xml:space="preserve">Quelle: </w:t>
      </w:r>
      <w:r>
        <w:t>https://mcp.opencaselaw.ch/entscheid/bvger_E-7770_2024</w:t>
      </w:r>
    </w:p>
    <w:p>
      <w:r>
        <w:t>FR: TAF E-7770/2024 du 31 mars 2025</w:t>
      </w:r>
    </w:p>
    <w:p>
      <w:r>
        <w:t>IT: TAF E-7770/2024 del 31 marzo 2025</w:t>
      </w:r>
    </w:p>
    <w:p>
      <w:pPr>
        <w:pStyle w:val="Heading2"/>
      </w:pPr>
      <w:r>
        <w:t>Regeste</w:t>
      </w:r>
    </w:p>
    <w:p>
      <w:r>
        <w:t>Asyl und Wegweisung</w:t>
      </w:r>
    </w:p>
    <w:p>
      <w:pPr>
        <w:pStyle w:val="Heading2"/>
      </w:pPr>
      <w:r>
        <w:t>Erwägungen</w:t>
      </w:r>
    </w:p>
    <w:p>
      <w:r>
        <w:rPr>
          <w:b/>
        </w:rPr>
        <w:t>E. 8</w:t>
      </w:r>
    </w:p>
    <w:p>
      <w:r>
        <w:t>November 2024 E. 13.2), dass auch aus individueller Sicht keine Gründe ersichtlich sind, die gegen die Zumutbarkeit des Wegweisungsvollzugs sprechen, dass im Februar 2023 schwere Erdbeben in Teilen der Südosttürkei und Syrien tausende Todesopfer forderten und Grossteile der Infrastruktur zer- störten, wobei der türkische Präsident daraufhin den Ausnahmezustand über die elf betroffenen Provinzen (Kahramanmaraş, Hatay, Gaziantep, Osmaniye, Malatya, Adıyaman, Adana, Diyarbakır, Kilis, Şanlıurfa und Elâzığ) verhängte, dass die Beschwerdeführenden zwar aus E._______ stammen, aber seit mehr als (…) Jahren in F._______ wohnhaft waren und davon auszugehen ist, dass sie dorthin zurückkehren können, dass bezüglich der Zumutbarkeit des Wegweisungsvollzugs im Übrigen auf die zutreffenden Erwägungen der Vorinstanz verwiesen werden kann (vgl. A52 Ziff. III.2), welchen auf Beschwerdeeben nichts Stichhaltiges entge- gengesetzt wurde, wobei die Beschwerdeführenden auf die Möglichkeit hingewiesen werden, Rückkehrhilfe zu beantragen (Art. 93 Abs. 1 Bst. d AsylG, Art. 75 der Asylverordnung 2 vom 11. August 1999 [AsylV 2, SR 142.312]), dass der Vollzug der Wegweisung demnach zumutbar ist,</w:t>
      </w:r>
    </w:p>
    <w:p>
      <w:r>
        <w:t>E-7770/2024 Seite 12 dass der Vollzug der Wegweisung der Beschwerdeführenden in den Hei- matstaat auch möglich ist und es ihnen obliegt, bei der Beschaffung gülti- ger Reisepapiere mitzuwirken (Art. 8 Abs. 4 AsylG; vgl. BVGE 2008/34 E. 12), dass die angefochtene Verfügung nach dem Gesagten Bundesrecht nicht verletzt, den rechtserheblichen Sachverhalt richtig sowie vollständig fest- stellt (Art. 106 Abs. 1 AsylG) und – soweit überprüfbar – angemessen ist, weshalb die Beschwerde abzuweisen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wobei der am 20. Januar 2025 einbezahlte Kos- tenvorschuss zur Begleichung der Verfahrenskosten zu verwenden ist.</w:t>
      </w:r>
    </w:p>
    <w:p>
      <w:r>
        <w:t>(Dispositiv nächste Seite)</w:t>
      </w:r>
    </w:p>
    <w:p>
      <w:r>
        <w:t>E-7770/2024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