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E-7758/2016 vom 9. März 2017</w:t>
      </w:r>
    </w:p>
    <w:p>
      <w:r>
        <w:t>Bundesverwaltungsgericht, 2017-03-09, DE</w:t>
      </w:r>
    </w:p>
    <w:p>
      <w:r>
        <w:rPr>
          <w:b/>
        </w:rPr>
        <w:t xml:space="preserve">Quelle: </w:t>
      </w:r>
      <w:r>
        <w:t>https://mcp.opencaselaw.ch/entscheid/bvger_E-7758_2016</w:t>
      </w:r>
    </w:p>
    <w:p>
      <w:r>
        <w:t>FR: TAF E-7758/2016 du 9 mars 2017</w:t>
      </w:r>
    </w:p>
    <w:p>
      <w:r>
        <w:t>IT: TAF E-7758/2016 del 9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4.1</w:t>
      </w:r>
    </w:p>
    <w:p>
      <w:r>
        <w:t>Der Beschwerdeführer macht im Wesentlichen geltend, aus finanziellen Gründen zu Ausbildungszwecken und aus Angst vor einer Rekrutierung aus Eritrea illegal ausgereist zu sein.</w:t>
      </w:r>
    </w:p>
    <w:p>
      <w:r>
        <w:rPr>
          <w:b/>
        </w:rPr>
        <w:t>E. 4.2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(zur Publikation als Referenzurteil vorgesehen)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 ob minderjährig oder nicht -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 Das Bundesverwaltungsgericht hat im oben genannten Koordinationsentscheid D-7898/2015 vom 30. Januar 2017 die Zulässigkeit der durch die Vorinstanz vorgenommenen Praxisänderung bestätigt. Damit hat es auch implizit das Vorgehen der Vorinstanz bestätigt, womit die Beschwerdeführerin aus BVGE 2010/54 nichts ableiten kann. Im Übrigen ist darauf hinzuweisen, dass sich BVGE 2010/54 mit der Frage der Zumutbarkeit des Vollzugs von Wegweisungen auseinandersetzt, vorliegend aber die Anerkennung der Flüchtlingseigenschaft Gegenstand des Beschwerdeverfahrens bildet und die langjährige bisherige Praxis der Vorinstanz nicht auf einem publizierten Koordinationsentscheid des Gerichts beruhte. Schliesslich finden sich in der angefochtenen Verfügung Hinweise auf die Praxisänderung, die Vorinstanz hat diese dem Gericht vorgängig kommuniziert und die Öffentlichkeit durch die Medienkonferenz vom 23. Juni 2016 informiert. Die Vorgehensweise der Vorinstanz ist somit nicht zu beanstanden.</w:t>
      </w:r>
    </w:p>
    <w:p>
      <w:r>
        <w:rPr>
          <w:b/>
        </w:rPr>
        <w:t>E. 4.3</w:t>
      </w:r>
    </w:p>
    <w:p>
      <w:r>
        <w:t>Was die Vorfluchtgründe anbelangt, so halten diese - wie bereits von der Vorinstanz zutreffend festgestellt - den Anforderungen an Art. 3 AsylG nicht stand. So vermögen fehlende Bildungsmöglichkeiten und unbefriedigende Alltagssituationen keine Asylrelevanz zu entfalten. Ebenso wenig vermag die reine Befürchtung, eines Tages Militärdienst leisten zu müssen beziehungsweise bei einer Razzia eingezogen zu werden, den Anforderungen an Art. 3 AsylG standzuhalten. Hinzu kommt, dass der Beschwerdeführer in Eritrea keine Probleme mit den Behörden hatte (SEM-Akten, A21, S. 8 ff., insb. F98). Schliesslich erschöpfen sich seine Schilderungen in Eindimensionalität, mithin sind diese zu oberflächlich ausgefallen, um den Anforderungen gerecht zu werden, die an das Vorliegen eines zusätzlichen Anknüpfungspunkts gestellt werden. Die Beschwerde stellt der vorinstanzlichen Schlussfolgerung zum Vorfluchtgrund nichts Stichhaltiges entgegen; die entsprechenden Rügen gehen aufgrund fehlender asylrelevanter Vorbringen ins Leere. Nachdem der Beschwerdeführer neben der illegalen Ausreise keine zusätzlichen Anknüpfungspunkte für eine Verschärfung seines Profils zu belegen oder mindestens glaubhaft zu machen vermag, lässt sich keine asylrechtlich beachtliche Verfolgung annehmen. Nach dem Gesagten vermögen die weiteren Beschwerdeausführungen, die Verweise auf Rechtsprechung und Berichte sowie die Ausführungen im Schreiben vom 10. Januar 2017 am Beweisergebnis nichts zu ändern. Auch kann der Beschwerdeführer aus dem beigelegten Kurzbericht der Hilfswerksvertretung nichts zu seinen Gunsten ableiten. Letztere hat auch keine Anmerkungen auf dem Unterschriftenblatt unmittelbar im Anschluss an die Zweitbefragung gemacht (Unterschriftenblatt der Hilfswerksvertretung, SEM-Akten, A21, S. 17). Gleiches gilt für die Registrationsbestätigung in Äthiopien, die lediglich eine dortige Registration bestätigen und ein Hinweis auf die Reiseroute geben kann. Indem die Vorinstanz eine vorläufige Aufnahme anordnete, hat sie den Umständen des Einzelfalls (junger Mann und Lage vor Ort) ausreichend Rechnung getragen. Um Wiederholungen zu vermeiden, ist auf das erwähnte Koordinationsurteil des Bundesverwaltungsgerichts sowie die zutreffenden Erwägungen der Vorinstanz zu verweisen, die zu Recht die Flüchtlingseigenschaft verneint und das Asylgesuch des Beschwerdeführers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w:t>
      </w:r>
    </w:p>
    <w:p>
      <w:r>
        <w:t>Es sind keine Verfahrenskosten zu erheben. Das Gesuch um Gewährung der unentgeltlichen Prozessführung wurde bereits mit Instruktionsverfügung vom 20. Dezember 2016 gemäss Art. 65 Abs. 1 VwVG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