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E-7756/2016 vom 22. Dezember 2016</w:t>
      </w:r>
    </w:p>
    <w:p>
      <w:r>
        <w:t>Bundesverwaltungsgericht, 2016-12-22, DE</w:t>
      </w:r>
    </w:p>
    <w:p>
      <w:r>
        <w:rPr>
          <w:b/>
        </w:rPr>
        <w:t xml:space="preserve">Quelle: </w:t>
      </w:r>
      <w:r>
        <w:t>https://mcp.opencaselaw.ch/entscheid/bvger_E-7756_2016</w:t>
      </w:r>
    </w:p>
    <w:p>
      <w:r>
        <w:t>FR: TAF E-7756/2016 du 22 décembre 2016</w:t>
      </w:r>
    </w:p>
    <w:p>
      <w:r>
        <w:t>IT: TAF E-7756/2016 del 22 dicembre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den Vollzug der Wegweisung. Die Ziffern 1 (Verneinung der Flüchtlingseigenschaft), 2 (Ablehnung des Asylgesuchs) und 3 (Wegweisung aus der Schweiz) des Dispositivs der Verfügung vom 18. November 2016 sind mangels Anfechtung in Rechtskraft erwachsen.</w:t>
      </w:r>
    </w:p>
    <w:p>
      <w:r>
        <w:rPr>
          <w:b/>
        </w:rPr>
        <w:t>E. 4</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5.2</w:t>
      </w:r>
    </w:p>
    <w:p>
      <w:r>
        <w:t>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der Beschwerdeführer erfülle die Flüchtlingseigenschaft nicht.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Der Vollzug der Wegweisung ist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w:t>
      </w:r>
    </w:p>
    <w:p>
      <w:r>
        <w:t>Die Vorinstanz kam in der angefochtenen Verfügung zum Schluss, in den vier Provinzen Dohuk, Erbil, Sulaimaniya und Halabja herrsche keine Situation allgemeiner Gewalt, und stützte sich dabei auf die Lageeinschätzung des Bundesverwaltungsgerichts im Urteil E-3737/2015 vom 14. Dezember 2015 (als Referenzurteil publiziert).</w:t>
      </w:r>
    </w:p>
    <w:p>
      <w:r>
        <w:rPr>
          <w:b/>
        </w:rPr>
        <w:t>E. 6.4</w:t>
      </w:r>
    </w:p>
    <w:p>
      <w:r>
        <w:t>In der Rechtsmitteleingabe bringt der Beschwerdeführer vor, das Eidgenössische Departement für auswärtige Angelegenheiten (EDA) rate von Reisen in den Irak, einschliesslich der Region Kurdistan, ab. Der Internetseite www.understandigwar.org, worauf die Vorinstanz verwiesen habe, sei unter anderem zu entnehmen, dass es auf halber Strecke zwischen Mosul und Erbil zu massiven Anschlägen gekommen sei. Der Irak sei von einem Alltagskrieg betroffen und die Konflikte weiteten sich auf Erbil aus. DieVorinstanz habe selbst festgehalten, dass sich die Konfliktlage durch eine grosse Volatilität und Dynamik auszeichne, zitiere in diesem Zusammenhang aber einen eineinhalb Jahre alten Bericht. Zudem stütze sie sich auf ein Urteil des Bundesverwaltungsgerichts, welches wiederum ein Jahr alt sei. Der Vollzug der Wegweisung sei deshalb nicht zumutbar.</w:t>
      </w:r>
    </w:p>
    <w:p>
      <w:r>
        <w:rPr>
          <w:b/>
        </w:rPr>
        <w:t>E. 6.5.1</w:t>
      </w:r>
    </w:p>
    <w:p>
      <w:r>
        <w:t>Zunächst ist festzuhalten, dass der Beschwerdeführer aus den Reisehinweisen des EDA nichts zu seinen Gunsten abzuleiten vermag. Dabei handelt es sich um Hinweise für Reisende (Touristen), die sich in erster Linie an Schweizer Staatsangehörige richten und nicht an Personen, welche die Staatsangehörigkeit des betreffenden Staates (vorliegend Irak) besitzen.</w:t>
      </w:r>
    </w:p>
    <w:p>
      <w:r>
        <w:rPr>
          <w:b/>
        </w:rPr>
        <w:t>E. 6.5.2</w:t>
      </w:r>
    </w:p>
    <w:p>
      <w:r>
        <w:t>Der Beschwerdeführer macht geltend, der vorinstanzliche Entscheid stütze sich auf eine über einjährige und damit nicht mehr aktuelle Praxis ab. Die Vorinstanz hat die Begründung der angefochtenen Verfügung auf die im vorgenannten Referenzurteil vorgenommene Lagebeurteilung abgestützt. Gemäss dieser zeichne sich die Lage im Irak zwar durch eine grosse Volatilität und Dynamik aus, womit allgemeine Aussagen zur Sicherheits- und Menschenrechtslage schnell ihre Gültigkeit verlieren könnten, die Gewalt konzentriere sich jedoch auf den Zentral- und Südirak, während die Autonome Region Kurdistan (ARK) kaum davon betroffen sei. Die Einnahme diverser Ortschaften im Zentralirak durch den Islamischen Staat (IS) seit Juni 2014 habe zu einer grossen Flüchtlingswelle in die ARK geführt. Deren Auswirkungen auf die Sicherheits- und Versorgungslage seien jedoch nicht derart gravierend, dass für die einheimische kurdische Bevölkerung generell von einer konkreten Gefährdung im Sinne von Art. 84 Abs. 4 AuG gesprochen werden könne. In den vier Provinzen Dohuk, Erbil, Sulaimaniya und Halabja herrsche keine Situation allgemeiner Gewalt und der Wegweisungsvollzug erweise sich als grundsätzlich zumutbar. Diese Einschätzung wird von der Vorinstanz, aber auch vom Gericht, laufend überprüft und wurde seither vom Bundesverwaltungsgericht in seiner Rechtsprechung bestätigt (vgl. zuletzt Urteile des BVGer E-7385/2016 vom 8. Dezember 2016; D-6404/2016 vom 2. Dezember 2016 mit Verweisen). Entgegen der Ansicht des Beschwerdeführers kann somit nicht davon ausgegangen werden, die Vorinstanz stütze sich auf eine überholte Lagebeurteilung ab. Daran vermögen auch die eingereichten Aufnahmen von verschiedenen getöteten Menschen, welche die Lage vor Ort belegen sollen, nichts zu ändern. Soweit der Beschwerdeführer sodann geltend macht, auf halber Strecke zwischen Mosul und Erbil sei es zu massiven Anschlägen gekommen, ist er nicht gehalten, sich in diesem Gebiet aufzuhalten. Der Vollzug der Wegweisung ist somit grundsätzlich zumutbar.</w:t>
      </w:r>
    </w:p>
    <w:p>
      <w:r>
        <w:rPr>
          <w:b/>
        </w:rPr>
        <w:t>E. 6.6</w:t>
      </w:r>
    </w:p>
    <w:p>
      <w:r>
        <w:t>Weiter hat die Vorinstanz festgestellt, es würden auch keine individuellen Gründe gegen eine Zumutbarkeit des Wegweisungsvollzugs des Beschwerdeführers sprechen und hat dies in der angefochtenen Verfügung ausführlich dargelegt. Dazu äussert sich der Beschwerdeführer in der Rechtsmitteleingabe nicht ansatzweise. Mit der Vorinstanz ist deshalb nochmals festzustellen, dass es sich beim Beschwerdeführer um einen jungen, gesunden Mann handelt, dessen Familie in seiner Heimatregion (...) besitzt, von deren Einnahmen die Familie leben kann. Sodann ist der Beschwerdeführer gemäss eigenen Angaben täglich via Viber in Kontakt mit seiner Familie, so dass davon ausgegangen werden kann, er verfüge bei einer Rückkehr über ein bestehendes familiäres Beziehungsnetz und finde dort auch wieder Aufnahme. Weitergehend kann auf die Erwägungen in der angefochtenen Verfügung verwiesen werden. Insgesamt erweist sich der Vollzug der Wegweisung demnach als zumutbar.</w:t>
      </w:r>
    </w:p>
    <w:p>
      <w:r>
        <w:rPr>
          <w:b/>
        </w:rPr>
        <w:t>E. 6.7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6.8</w:t>
      </w:r>
    </w:p>
    <w:p>
      <w:r>
        <w:t>Zusammenfassend hat die Vorinstanz den Wegweisungsvollzug zu Recht als zulässig, zumutbar und möglich bezeichnet. Eine Anordnung der vorläufigen Aufnahme fällt somit ausser Betracht (Art. 83 Abs. 1-4 AuG).</w:t>
      </w:r>
    </w:p>
    <w:p>
      <w:r>
        <w:rPr>
          <w:b/>
        </w:rPr>
        <w:t>E. 6.9</w:t>
      </w:r>
    </w:p>
    <w:p>
      <w:r>
        <w:t>Eventualiter beantragt der Beschwerdeführer im Falle der Abweisung der Beschwerde, die Sache sei wegen Verletzung des rechtlichen Gehörs (Begründungspflicht) an die Vorinstanz zur Neubeurteilung zurückzuweisen. Dazu besteht keine Veranlassung, weshalb der Antrag abzuweisen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beantragt die Gewährung der unentgeltlichen Rechtspflege und unentgeltlichen Verbeiständung. Aufgrund der vorstehenden Erwägungen ergibt sich, dass seine Begehren als aussichtslos zu gelten haben. Damit ist eine der kumulativ zu erfüllenden Voraussetzungen nicht gegeben, weshalb den Gesuchen nicht stattzugeben ist.</w:t>
      </w:r>
    </w:p>
    <w:p>
      <w:r>
        <w:rPr>
          <w:b/>
        </w:rPr>
        <w:t>E. 8.2</w:t>
      </w:r>
    </w:p>
    <w:p>
      <w:r>
        <w:t>Bei diesem Ausgang des Verfahrens sind die Kosten von Fr. 600.- (Art. 1 3 des Reglements vom 21. Februar 2008 über die Kosten und Entschädigungen vor dem Bundesverwaltungsgericht [VGKE, SR 173.320.2]) dem Beschwerdeführer aufzuerlegen (Art. 63 Abs. 1 VwVG).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