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E-7756/2007 vom 3. Juli 2008</w:t>
      </w:r>
    </w:p>
    <w:p>
      <w:r>
        <w:t>Bundesverwaltungsgericht, 2008-07-03, DE</w:t>
      </w:r>
    </w:p>
    <w:p>
      <w:r>
        <w:rPr>
          <w:b/>
        </w:rPr>
        <w:t xml:space="preserve">Quelle: </w:t>
      </w:r>
      <w:r>
        <w:t>https://mcp.opencaselaw.ch/entscheid/bvger_E-7756_2007</w:t>
      </w:r>
    </w:p>
    <w:p>
      <w:r>
        <w:t>FR: TAF E-7756/2007 du 3 juillet 2008</w:t>
      </w:r>
    </w:p>
    <w:p>
      <w:r>
        <w:t>IT: TAF E-7756/2007 del 3 luglio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hebt die vorläufige Aufnahme auf und ordnet den Vollzug der Weg- oder Ausweisung an, wenn die Voraussetzungen nicht mehr gegeben sind (Art. 84 Abs. 2 des Bundesgesetzes über die Ausländerinnen und Ausländer vom 16. Dezember 2005 [AuG, SR142.20]).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w:t>
      </w:r>
    </w:p>
    <w:p>
      <w:r>
        <w:rPr>
          <w:b/>
        </w:rPr>
        <w:t>E. 3.2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3.3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4.1</w:t>
      </w:r>
    </w:p>
    <w:p>
      <w:r>
        <w:t>Das BFM führte in der angefochtenen Verfügung aus, es sei rechtskräftig festgestellt, dass der Beschwerdeführer die Flüchtlingseigenschaft nicht erfülle. Er könne sich daher auch nicht auf den Grundsatz der Nichtrückschiebung gemäss Art. 5 Abs. 1 AsylG berufen. Aufgrund der Sicherheits- und Menschenrechtslage in den drei von der kurdischen Regionalregierung kontrollierten Provinzen Dohuk, Erbil und Sulaymanyia herrsche keine Situation allgemeiner Gewalt. Der Wegweisungsvollzug sei daher grundsätzlich zumutbar, was insbesondere für aus dieser Region stammende alleinstehende Männer gelte. Der Beschwerdeführer sei im Alter von 19 Jahren in die Schweiz eingereist. Er habe sein gesamtes Leben in der Stadt B._______ in der (...) Provinz [Dohuk] verbracht. Dort habe er die Primarschule besucht und bis zu seiner Ausreise in einem E._______ gearbeitet. Aus den Akten gehe nicht hervor, dass der Beschwerdeführer irgendwelche gesundheitlichen Probleme hätte. Es sei daher davon auszugehen, dass er nach der Rückkehr die Sicherung seiner Existenz selbständig an die Hand nehmen könne. Zudem verfüge er mit seiner nach wie vor in B._______ lebenden Familie über ein soziales Beziehungsnetz, welches ihm beim Aufbau einer neuen Existenz behilflich sein könne. Sodann sei auf das Rückkehrprogramm "Irak" zu verweisen. Schliesslich sei der Vollzug der Wegweisung aufgrund der bestehenden Flugverbindungen aus Europa in den Nordirak auch möglich.</w:t>
      </w:r>
    </w:p>
    <w:p>
      <w:r>
        <w:rPr>
          <w:b/>
        </w:rPr>
        <w:t>E. 4.2</w:t>
      </w:r>
    </w:p>
    <w:p>
      <w:r>
        <w:t>In der Rechtsmitteleingabe bestreitet der Beschwerdeführer die vorinstanzliche Lageeinschätzung. Im Irak herrsche nach wie vor eine Situation allgemeiner Gewalt. Auch sei die Zukunft von Kurdistan unklar. Die Kurden seien dauerhaft Ziel der Angriffe und Menschenrechtsverletzungen. Ständige Drohungen und militärische Interventionen der Nachbarländer seien eine ernsthafte Gefahr. Im Januar 2005 sei ein irakischer Asylgesuchsteller aus der Schweiz auf dem Weg nach Bagdad ermordet worden.</w:t>
      </w:r>
    </w:p>
    <w:p>
      <w:r>
        <w:rPr>
          <w:b/>
        </w:rPr>
        <w:t>E. 5.1</w:t>
      </w:r>
    </w:p>
    <w:p>
      <w:r>
        <w:t>Das Bundesverwaltungsgericht ist im zur Publikation vorgesehenen Urteil E-4243/2007 vom 14. März 2008 aufgrund einer umfassenden Beurteilung der aktuellen Situation in den nordirakischen Provinzen Dohuk, Sulaymaniya und Erbil zum Schluss gekommen, dass in diesen drei kurdischen Provinzen keine Situation allgemeiner Gewalt herrscht und die dortige politische Lage nicht dermassen angespannt ist, als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 in das durch die kurdische Regionalregierung ("Kurdistan Regional Government" [KRG]) dominierte Gebiet. Weiter wurde im vorerwähnten Urteil festgehalten, dass die Anordnung des Wegweisungsvollzugs in der Regel für alleinstehende, gesunde und junge kurdische Männer, die ursprünglich aus einer der drei Provinzen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 (vgl. a.a.O. E. 7.5 und insbesondere 7.5.8).</w:t>
      </w:r>
    </w:p>
    <w:p>
      <w:r>
        <w:rPr>
          <w:b/>
        </w:rPr>
        <w:t>E. 5.2</w:t>
      </w:r>
    </w:p>
    <w:p>
      <w:r>
        <w:t>Vorliegend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hätte der Beschwerdeführer eine konkrete Gefahr ("real risk") nachweisen oder glaubhaft machen müssen, dass ihm im Fall einer Rückschiebung Folter oder unmenschliche Behandlung drohen würde (vgl. Entscheidungen und Mitteilungen der Schweizerischen Asylrekurskommission [EMARK] 2001 Nr. 16 S. 122, mit weiteren Hinweisen; EGMR, Bensaid gegen Grossbritannien, Urteil vom 6. Februar 2001, Recueil des arrêts et décisions 2001-I, S. 327 ff.). Ebenfalls lässt die allgemeine Menschenrechtssituation im Nordirak den Wegweisungsvollzug zum heutigen Zeitpunkt nicht als unzulässig erscheinen (vgl. das Urteil des Bundesverwaltungsgerichts BVGE E-6982/2006 vom 22. Januar 2008). Nach dem Gesagten ist der Vollzug der Wegweisung sowohl im Sinne der asyl- als auch der völkerrechtlichen Bestimmungen zulässig.</w:t>
      </w:r>
    </w:p>
    <w:p>
      <w:r>
        <w:rPr>
          <w:b/>
        </w:rPr>
        <w:t>E. 5.3</w:t>
      </w:r>
    </w:p>
    <w:p>
      <w:r>
        <w:t>Wie vorstehend ausgeführt, geht das Bundesverwaltungsgericht davon aus, dass die Anordnung des Vollzugs der Wegweisung in den kurdisch verwalteten Nordirak in der Regel für junge, gesunde und alleinstehende kurdische Männer, die dort über ein soziales Netz verfügen, zumutbar ist. Entgegen der vom Beschwerdeführer in der Rechtsmitteleingabe vertretenen Ansicht, ist die Situation im Nordirak heute nicht derart, dass eine Wegweisung in dieses Gebiet generell als unzumutbar angesehen werden müsste. Wie die Vorinstanz bereits zutreffend festgestellt hat, handelt es sich beim Beschwerdeführer um einen jungen, gesunden Mann, der seit seiner Geburt in der Provinz Dohuk lebte, dort die Schule besuchte und von 2002 bis 2005 in einem E._______ arbeitete. Sodann leben seine Eltern und Geschwister nach wie vor in B._______. Damit verfügt der Beschwerdeführer bei einer Rückkehr über ein soziales Beziehungsnetz, welches ihm die Reintegration nach seinem dreijährigen Aufenthalt in der Schweiz erleichtern kann. Es ist auch davon auszugehen, dass es dem Beschwerdeführer aufgrund seiner beruflichen Erfahrungen möglich sein wird, sich eine neue wirtschaftliche Existenz aufzubauen. Hinzu kommt, dass die Rückkehrhilfe der Schweiz dem Beschwerdeführer den Wiedereinstieg in seiner Heimat erleichtern kann. Blosse soziale und wirtschaftliche Schwierigkeiten jedenfalls, von denen die ansässige Bevölkerung im Allgemeinen betroffen ist, genügen nicht, um eine Gefahr im Sinne von Art. 83 Abs. 4 AuG darzustellen (vgl. die weiterhin zutreffende Praxis der Schweizerischen Asylrekurskommission in EMARK 1996 Nr. 2 S. 12 f. und 1994 Nr. 19 E. 6b S. 148 f.). Schliesslich sind keine weiteren individuellen Gründe ersichtlich, aufgrund derer allenfalls geschlossen werden könnte, der Beschwerdeführer gerate im Falle der Rückkehr in die Heimat in eine existenzbedrohende Situation. Bei dieser Sachlage erübrigt es sich, auf die weiteren, nur allgemein gehaltenen Ausführungen in der Rechtsmitteleingabe im Einzelnen einzugehen. Einzig ist festzuhalten, dass der Beschwerdeführer aus der Ermordung eines ehemaligen Asylgesuchstellers aus der Schweiz bei Bagdad nichts zu seinen Gunsten abzuleiten vermag. Insgesamt ist der Vollzug der Wegweisung somit als zumutbar zu bezeichnen.</w:t>
      </w:r>
    </w:p>
    <w:p>
      <w:r>
        <w:rPr>
          <w:b/>
        </w:rPr>
        <w:t>E. 5.4</w:t>
      </w:r>
    </w:p>
    <w:p>
      <w:r>
        <w:t>Schliesslich obliegt es dem Beschwerdeführer, sich bei der zuständigen Vertretung seines Heimatstaates die für eine Rückkehr notwendigen gültigen Reisedokumente zu beschaffen (Art. 8 Abs. 4 AsylG), weshalb der Vollzug der Wegweisung auch als möglich zu bezeichnen ist (Art. 83 Abs. 2 AuG).</w:t>
      </w:r>
    </w:p>
    <w:p>
      <w:r>
        <w:rPr>
          <w:b/>
        </w:rPr>
        <w:t>E. 5.5</w:t>
      </w:r>
    </w:p>
    <w:p>
      <w:r>
        <w:t>Zusammenfassend ist festzuhalten, dass das BFM den Vollzug der Wegweisung zu Recht als durchführbar erklärt und die vorläufige Aufnahme aufgehoben hat.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Mit Zwischenverfügung vom 21. November 2007 hat der Instruktionsrichter das Gesuch um Gewährung der unentgeltlichen Rechtspflege gutgeheissen. Dem Beschwerdeführer sind daher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