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E-772/2014 vom 3. September 2014</w:t>
      </w:r>
    </w:p>
    <w:p>
      <w:r>
        <w:t>Bundesverwaltungsgericht, 2014-09-03, FR</w:t>
      </w:r>
    </w:p>
    <w:p>
      <w:r>
        <w:rPr>
          <w:b/>
        </w:rPr>
        <w:t xml:space="preserve">Quelle: </w:t>
      </w:r>
      <w:r>
        <w:t>https://mcp.opencaselaw.ch/entscheid/bvger_E-772_2014</w:t>
      </w:r>
    </w:p>
    <w:p>
      <w:r>
        <w:t>FR: TAF E-772/2014 du 3 septembre 2014</w:t>
      </w:r>
    </w:p>
    <w:p>
      <w:r>
        <w:t>IT: TAF E-772/2014 del 3 settembre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la qualité pour agir (art. 48 al. 1 PA). Déposé en temps utile (art. 108 al. 1 LAsi) et remplissant les exigences formelles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Le Tribunal relève avant tout que le recourant a établi par pièces avoir fondé une société de textile, sise à F._______. En revanche, les dires du recourant selon lesquels cette société aurait servi à financer le PKK ne sont pas vraisemblables.</w:t>
      </w:r>
    </w:p>
    <w:p>
      <w:r>
        <w:rPr>
          <w:b/>
        </w:rPr>
        <w:t>E. 3.1.2</w:t>
      </w:r>
    </w:p>
    <w:p>
      <w:r>
        <w:t>Le recourant a tenu des propos contradictoires à propos du rôle joué par G._______, qui aurait assuré le lien avec le PKK, dans sa société ainsi qu'au sujet de son arrestation, comme l'a relevé à juste titre l'autorité intimée. Ainsi, lors de son audition sommaire, l'intéressé a déclaré qu'en raison de l'éloignement géographique, il avait confié le contrôle de la société à G._______, qui habitait à Istanbul (cf. pv de l'audition sommaire, p. 5). Lors de son audition sur les motifs d'asile, il a en revanche affirmé qu'il séjournait la semaine à F._______ et qu'il y travaillait à plein temps (cf. pv de l'audition sur les motifs, Q113 à 118 et 138 à 140). Lors de sa première audition, le recourant a déclaré que G._______ avait été arrêtée à Istanbul peu avant les élections, suite à une opération menée contre le PKK. Les documents retrouvés chez elle auraient dévoilé leur activité au sein de la société. L'intéressé aurait été averti de cette arrestation le 5 juin 2011, tout en ignorant la date, même approximative, de cet évènement (cf. pv de l'audition sommaire, p. 5 et 6). Lors de sa seconde audition, il a en revanche déclaré que G._______ aurait été arrêtée le 5 juin 2011 (cf. pv de l'audition sur les motifs, Q47 et 137). Sur ces points, les recourants ont relevé à juste titre une erreur mineure dans la motivation de la décision attaquée, puisque c'est bien lors de l'audition sur les motifs, et non de l'audition sommaire, que l'intéressé a affirmé s'occuper des entrées et des sorties de marchandises (cf. pv de l'audition sur les motifs, Q113). Il n'en demeure pas moins que l'on ne voit pas pourquoi l'intéressé aurait dû faire appel à une personne tierce en raison de l'éloignement géographique, s'il se trouvait en réalité toute la semaine sur place.</w:t>
      </w:r>
    </w:p>
    <w:p>
      <w:r>
        <w:rPr>
          <w:b/>
        </w:rPr>
        <w:t>E. 3.1.3</w:t>
      </w:r>
    </w:p>
    <w:p>
      <w:r>
        <w:t>L'ODM a relevé à juste titre les incohérences des déclarations du recourant quant aux bénéfices qui auraient été reversés au PKK, eu égard au nombre d'employés, au nombre d'habits vendus et au bénéfice par pièce. Le fait que dans son recours, l'intéressé ait revu à la baisse la fourchette du montant reversé mensuellement au PKK, dont le montant inférieur serait en réalité de 2'500 livres et non de 4'000 comme déclaré dans un premier temps (cf. pv de l'audition sur les motifs, Q121), ne suffit pas à les expliquer à satisfaction.</w:t>
      </w:r>
    </w:p>
    <w:p>
      <w:r>
        <w:rPr>
          <w:b/>
        </w:rPr>
        <w:t>E. 3.1.4</w:t>
      </w:r>
    </w:p>
    <w:p>
      <w:r>
        <w:t>Par ailleurs, le recourant a déclaré que son entreprise aurait été fermée par les autorités, en raison de l'aide apportée au PKK. Il n'a toutefois fourni aucun élément attestant ce fait, qui n'est dès lors qu'une simple supposition, nullement étayée. Il est d'ailleurs surprenant que le recourant n'ait pas cherché à entrer en contact avec son associé, qu'il n'aurait pas revu depuis la fondation de la société, afin de s'enquérir à ce propos (cf. pv de l'audition sur les motifs, Q104 à 107).</w:t>
      </w:r>
    </w:p>
    <w:p>
      <w:r>
        <w:rPr>
          <w:b/>
        </w:rPr>
        <w:t>E. 3.1.5</w:t>
      </w:r>
    </w:p>
    <w:p>
      <w:r>
        <w:t>De plus, le recourant aurait été informé de l'arrestation de G._______ par un camarade du PKK le (...) 2011 ; celui-ci lui aurait conseillé de quitter le pays. Le lendemain, sa secrétaire l'aurait averti, par téléphone, qu'une descente de police avait eu lieu dans les locaux de sa société (cf. pv de l'audition sur les motifs, Q43, Q50-57). Or le fait d'avoir appris par des tiers que l'on est recherché ne suffit pas, en soi, pour établir l'existence fondée de futures persécutions (cf. notamment arrêts du TAF D 8436/2010 du 12 août 2013 consid. 6.2 ; E 1397/2012 du 27 avril 2012 consid. 3.7 ; E-4191/2011 du 5 août 2011 consid. 5.3 ; voir aussi Achermann / Hausammann, Les notions d'asile et de réfugié en droit suisse, in W. Kälin (éd.), Droit des réfugiés, enseignement de 3ème cycle de droit 1990, 1991, p. 23 ss, spéc. 44 ; Walter Kälin, Grundriss des Asylverfahrens, 1990, p. 144 s.). L'intéressé a d'ailleurs affirmé ignorer s'il était effectivement recherché par les autorités de son pays (cf. pv de l'audition sur les motifs, Q67 et 68), ce qui paraît d'autant moins probable compte tenu des circonstances de son départ du pays (cf. infra consid. 3.1.7).</w:t>
      </w:r>
    </w:p>
    <w:p>
      <w:r>
        <w:rPr>
          <w:b/>
        </w:rPr>
        <w:t>E. 3.1.6</w:t>
      </w:r>
    </w:p>
    <w:p>
      <w:r>
        <w:t>Le recourant a aussi déclaré être sympathisant du PKK, sans être membre de ce parti. Il a toutefois affirmé participer aux réunions (cf. pv de l'audition sommaire, p. 6). Invité à détailler les activités qu'il exerçait en tant que sympathisant lors de sa seconde audition, le recourant s'est toutefois borné à affirmer qu'il parlait avec des "gens" et que la population avait des "liens" avec des membres du PKK ou d'organisations similaires (cf. pv de l'audition sur les motifs, Q99 à 103). Le mémoire de recours n'apporte pas davantage de précisions sur la participation active de l'intéressé aux activités du PKK. Les propos du recourant à cet égard étant indigents, le motif tiré de ses prétendus liens avec le PKK ne peut être tenu pour vraisemblable.</w:t>
      </w:r>
    </w:p>
    <w:p>
      <w:r>
        <w:rPr>
          <w:b/>
        </w:rPr>
        <w:t>E. 3.1.7</w:t>
      </w:r>
    </w:p>
    <w:p>
      <w:r>
        <w:t>Enfin, le recourant a quitté la Turquie en prenant un vol depuis Istanbul, muni de son propre passeport. Si les autorités turques avaient souhaité mettre la main sur lui, elles auraient fait en sorte de lui interdire la sortie du pays, en tous cas par les voies les plus faciles à surveiller, et ce sitôt après la perquisition dans les locaux de sa société.</w:t>
      </w:r>
    </w:p>
    <w:p>
      <w:r>
        <w:rPr>
          <w:b/>
        </w:rPr>
        <w:t>E. 3.2.1</w:t>
      </w:r>
    </w:p>
    <w:p>
      <w:r>
        <w:t>S'agissant des motifs d'asile invoqués par la recourante, le Tribunal constate tout d'abord qu'elle n'a pas été active sur le plan politique, se disant simplement sympathisante de la cause kurde (cf. pv de l'audition sommaire du 15 octobre 2012, p. 8). Elle aurait été contrainte de quitter son pays en raison de la pression exercée par la police suite au départ de son mari.</w:t>
      </w:r>
    </w:p>
    <w:p>
      <w:r>
        <w:rPr>
          <w:b/>
        </w:rPr>
        <w:t>E. 3.2.2</w:t>
      </w:r>
    </w:p>
    <w:p>
      <w:r>
        <w:t>Une semaine après le départ de celui-ci, en juin 2011, la police se serait rendue, de nuit, à son domicile, où elle vivait avec son père et aurait fouillé toute la maison. Plusieurs agents l'aurait emmenée au commissariat, où elle aurait été interrogée par trois personnes au sujet de son mari et de certains documents appartenant à ce dernier. Ils seraient revenus toutes les deux à trois nuits, pendant plus d'une année, jusqu'à son départ du pays en septembre 2012.</w:t>
      </w:r>
    </w:p>
    <w:p>
      <w:r>
        <w:rPr>
          <w:b/>
        </w:rPr>
        <w:t>E. 3.2.3</w:t>
      </w:r>
    </w:p>
    <w:p>
      <w:r>
        <w:t>Comme l'a relevé l'autorité intimée dans la décision querellée, il n'est pas crédible que l'intéressée n'ait jamais dû signer de procès-verbal ou reçu de documents judiciaires concernant son mari, si celui-ci était effectivement recherché par les autorités turques. Les recourants soutiennent à cet égard que la police turque ferait "ce qu'elle veut" avec les Kurdes et se livrerait à des actes d'intimidation à leur égard sans devoir rendre de compte à leurs supérieurs. Il est toutefois contraire à toute logique que les forces de l'ordre turques aient persisté pendant plus d'une année à emmener la recourante, plusieurs fois par semaine, au commissariat alors qu'elles n'obtenaient aucune information au sujet de son mari. Cela est d'autant moins vraisemblable que les autorités turques auraient soudainement interrompu ces recherches après le départ de la recourante du pays. En effet, après le départ de l'intéressée, les policiers ne se seraient rendus qu'une seule fois au domicile de son père. Ce dernier aurait alors déclaré que sa fille était partie et qu'il ignorait où il se trouvait ; la police ne serait plus revenue depuis (cf. pv de l'audition sur les motifs, Q179). Le Tribunal considère qu'il n'est guère vraisemblable que les forces de l'ordre turques se soient contentées de cette simple déclaration si elles avaient réellement été à la recherche du recourant pendant plus d'une année, et ce plusieurs fois par semaine.</w:t>
      </w:r>
    </w:p>
    <w:p>
      <w:r>
        <w:rPr>
          <w:b/>
        </w:rPr>
        <w:t>E. 3.3</w:t>
      </w:r>
    </w:p>
    <w:p>
      <w:r>
        <w:t>S'agissant des documents annexés par les intéressés à leur recours, ils ne sont pas non plus de nature à établir leur qualité de réfugié. En effet, hormis les certificats médicaux et les attestations concernant leur situation financière et professionnelle, ces documents ont tous trait à de prétendus membres de la famille. Par conséquent, ils n'attestent pas de persécutions pertinentes en matière d'asile exercées à l'encontre des recourants.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réalisée en l'occurrence,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les recourants n'ont pas démontré l'existence d'un risque réel, fondé sur des motifs sérieux et avérés, d'être exposés, en cas de retour dans leur pays d'origine, à des traitements prohibés.</w:t>
      </w:r>
    </w:p>
    <w:p>
      <w:r>
        <w:rPr>
          <w:b/>
        </w:rPr>
        <w:t>E. 6.6</w:t>
      </w:r>
    </w:p>
    <w:p>
      <w:r>
        <w:t>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Si les provinces de Hakkari et de Sirnak se trouvent dans une situation de violence généralisée (ATAF 2013/2 consid. 9.6.1), l'exécution du renvoi dans toutes les autres provinces de Turquie est, dans le principe, raisonnablement exigible. Contrairement à ce que les intéressés soutiennent, le fait que la Turquie, et plus spécifiquement certaines provinces frontalières comme celle de E._______ d'où proviennent les recourants, accueille actuellement un nombre important de réfugiés syriens n'est pas, en soi, de nature à remettre en cause le caractère raisonnablement exigible de l'exécution du renvoi. Dès lors, seuls des facteurs de nature individuelle peuvent faire obstacle à l'exécution de cette mesure. En l'occurrence, les recourants font valoir que l'état de santé de B._______ ainsi que de D._______ s'oppose à l'exécution de leur renvoi.</w:t>
      </w:r>
    </w:p>
    <w:p>
      <w:r>
        <w:rPr>
          <w:b/>
        </w:rPr>
        <w:t>E. 7.3</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(sur l'ensemble de ces questions, voir ATAF 2011/50 consid. 8.3, ATAF 2009/2 consid. 9.3.2 ; JICRA 2003 n° 24 consid. 5b p. 157 s. et doctrine citée).</w:t>
      </w:r>
    </w:p>
    <w:p>
      <w:r>
        <w:rPr>
          <w:b/>
        </w:rPr>
        <w:t>E. 7.4.1</w:t>
      </w:r>
    </w:p>
    <w:p>
      <w:r>
        <w:t>Il ressort du rapport médical du 24 avril 2014 que B._______ souffre d'un état de stress post-traumatique avec des signes dépressifs et anxieux. Lors de la rédaction du rapport, le tableau clinique était dominé par des éléments dépressifs, représentant un épisode dépressif d'intensité moyenne. L'intéressée suit un traitement médicamenteux antidépresseur (Cipralex 10 mg) et visant les troubles du sommeil (Trittico 50 mg).</w:t>
      </w:r>
    </w:p>
    <w:p>
      <w:r>
        <w:rPr>
          <w:b/>
        </w:rPr>
        <w:t>E. 7.4.2</w:t>
      </w:r>
    </w:p>
    <w:p>
      <w:r>
        <w:t>Les problèmes médicaux de la recourante, tels qu'ils ressortent du rapport médical précité, ne sont toutefois pas d'une gravité propre à constituer un obstacle à l'exécution de son renvoi. En particulier, il n'appert pas qu'ils soient d'une intensité telle à nécessiter impérativement des traitements médicaux ne pouvant être suivis qu'en Suisse, sous peine d'entraîner de manière certaine et à brève échéance une mise en danger concrète et sérieuse de sa vie ou de son intégrité physique. Ainsi, compte tenu de l'infrastructure médicale disponible en Turquie (cf. arrêt du Tribunal D 6840/2009 du 1er octobre 2012 consid. 8.3.1), il ne peut être retenu qu'un renvoi aurait pour conséquence de provoquer une dégradation très rapide de son état de santé ou de mettre en danger sa vie. En d'autres termes, rien n'indique qu'elle ne pourrait pas obtenir dans son pays les soins qui lui seraient, le cas échéant, nécessaires. A cet égard, le Tribunal n'ignore pas que les prestations fournies en Turquie ne sont pas forcément du niveau de celles offertes en Suisse, en particulier en ce qui concerne les possibilités de prise en charge psychiatrique. Toutefois, des soins essentiels pour les états dépressifs peuvent être assurés en Turquie où les structures sont suffisantes pour répondre aux besoins éventuels de la recourante. Il convient encore de relever que la Turquie bénéficie d'un approvisionnement d'un très large spectre de médicaments disponibles en Suisse (cf. arrêt du Tribunal D 8436/2010 du 12 août 2013 consid. 11.2.2 et les réf. cit.). Enfin, les coûts des psychothérapies effectuées dans une institution publique (traitement hospitalier ou ambulatoire) sont pris en charge par l'assurance maladie universelle (Organisation suisse d'aide aux réfugiés [OSAR], Turquie : soins et traitements psychiatriques, 28 novembre 2013, p. 7 ; sur l'assurance maladie, voir infra consid. 7.5.3).</w:t>
      </w:r>
    </w:p>
    <w:p>
      <w:r>
        <w:rPr>
          <w:b/>
        </w:rPr>
        <w:t>E. 7.4.3</w:t>
      </w:r>
    </w:p>
    <w:p>
      <w:r>
        <w:t>Le rapport précité relève encore qu'en cas de retour en Turquie, où le principal traumatisme serait survenu, un renforcement temporaire du traitement pourrait être nécessaire. A cet égard, le Tribunal rappelle qu'il appartient à la recourante, avec l'aide de son médecin, de mettre en place les conditions adéquates qui lui permettront d'appréhender son retour au pays.</w:t>
      </w:r>
    </w:p>
    <w:p>
      <w:r>
        <w:rPr>
          <w:b/>
        </w:rPr>
        <w:t>E. 7.5.1</w:t>
      </w:r>
    </w:p>
    <w:p>
      <w:r>
        <w:t>En ce qui concerne D._______, un retard psycho-moteur avec régression des acquisitions, d'origine indéterminée, a été diagnostiqué. Selon le rapport médical du 11 avril 2014, une évolution vers un handicap neuropsychiatrique avec infirmité motrice cérébrale et retard mental est vraisemblable. Le traitement médical de l'intéressé est constitué de deux séances hebdomadaires de physiothérapie, d'une visite à domicile par une infirmière/puéricultrice ainsi que de la prise d'un médicament contre la constipation. Enfin, une répétition de certains examens à l._______ était envisagée ; ces examens n'auraient toutefois pas un caractère urgent. Les recourants ont souligné, dans leur écrit du 6 mai 2014, que les investigations menées à l._______ n'étaient pas encore terminées. Ils ont estimé que le système de santé turc présentait des carences en-dehors des grandes villes et relevé l'absence d'assurance maladie universelle.</w:t>
      </w:r>
    </w:p>
    <w:p>
      <w:r>
        <w:rPr>
          <w:b/>
        </w:rPr>
        <w:t>E. 7.5.2</w:t>
      </w:r>
    </w:p>
    <w:p>
      <w:r>
        <w:t>Les intéressés proviennent de E._______, ville disposant d'une infrastructure médicale de pointe avec son hôpital universitaire (cf. arrêt du Tribunal E-4413/2006 du 4 décembre 2009 consid. 7.4 à 7.6). Le médecin traitant de D._______ a d'ailleurs relevé, dans son rapport du 11 avril 2014, que les examens médicaux à renouveler pouvaient également l'être dans un centre universitaire turque. Au quotidien, la plupart des personnes nécessitant des soins sont, en Turquie, cependant pris en charge par leurs proches (cf. rapport de l'OSAR du 28 novembre 2013 précité, p. 1 à 5). Les personnes dans le besoin qui s'occupent d'un enfant mineur handicapé ont droit à une rente mensuelle de 219,29 livres turques (Analytical support on social protection reforms and their socio-economic impact [ASISP], Country Document 2013 - Pensions, health and long-term care : Turkey, novembre 2013, p. 7).</w:t>
      </w:r>
    </w:p>
    <w:p>
      <w:r>
        <w:rPr>
          <w:b/>
        </w:rPr>
        <w:t>E. 7.5.3</w:t>
      </w:r>
    </w:p>
    <w:p>
      <w:r>
        <w:t>En ce qui concerne le financement des soins à proprement parler, les recourants semblent perdre de vue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afin de remédier à la fragmentation du système de santé. L'accès aux soins et aux médicaments est garanti de manière gratuite, en majeure partie, pour les personnes qui n'auraient pas de ressources suffisantes (cf. arrêt du Tribunal administratif fédéral D 8436/2010 du 12 août 2013 consid. 11.2.2 in fine et réf. cit. ; voir aussi rapport de l'OSAR du 28 novembre 2013 précité, p. 1 à 5). La part de la population qui, nonobstant le caractère universel de cette assurance, n'est, en pratique, pas assurée a récemment diminué de manière significative, puisqu'elle serait passée de 11% en 2011 à 6,52% l'année suivante (cf. rapport de l'ASISP précité, p. 20).</w:t>
      </w:r>
    </w:p>
    <w:p>
      <w:r>
        <w:rPr>
          <w:b/>
        </w:rPr>
        <w:t>E. 7.5.4</w:t>
      </w:r>
    </w:p>
    <w:p>
      <w:r>
        <w:t>Il ressort de ce qui précède, D._______ pourra, le cas échéant, bénéficier des soins médicaux nécessaires en Turquie. Il ne peut donc être retenu qu'un renvoi aurait pour conséquence de provoquer une dégradation très rapide de son état de santé ou de mettre en danger sa vie.</w:t>
      </w:r>
    </w:p>
    <w:p>
      <w:r>
        <w:rPr>
          <w:b/>
        </w:rPr>
        <w:t>E. 7.6</w:t>
      </w:r>
    </w:p>
    <w:p>
      <w:r>
        <w:t>En outre, il ne ressort du dossier aucun élément dont on pourrait inférer que l'exécution du renvoi impliquerait une mise en danger concrète des recourants. A cet égard, l'autorité de céans relève que le recourant est au bénéfice d'une expérience professionnelle et avait d'ailleurs fondé sa propre société. Par ailleurs, les recourants disposent d'un réseau familial et social dans leur pays, sur lequel ils pourront compter à leur retour.</w:t>
      </w:r>
    </w:p>
    <w:p>
      <w:r>
        <w:rPr>
          <w:b/>
        </w:rPr>
        <w:t>E. 7.7</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9.1</w:t>
      </w:r>
    </w:p>
    <w:p>
      <w:r>
        <w:t>Au vu de ce qui précède, l'exécution du renvoi doit être déclarée conforme aux dispositions légales.</w:t>
      </w:r>
    </w:p>
    <w:p>
      <w:r>
        <w:rPr>
          <w:b/>
        </w:rPr>
        <w:t>E. 9.2</w:t>
      </w:r>
    </w:p>
    <w:p>
      <w:r>
        <w:t>Il s'ensuit que le recours, en tant qu'il conteste la décision de renvoi et son exécution, doit également être rejeté.</w:t>
      </w:r>
    </w:p>
    <w:p>
      <w:r>
        <w:rPr>
          <w:b/>
        </w:rPr>
        <w:t>E. 10</w:t>
      </w:r>
    </w:p>
    <w:p>
      <w:r>
        <w:t>Le Tribunal renonce en l'espèce à un échange d'écritures (art. 111a al. 1 LAsi).</w:t>
      </w:r>
    </w:p>
    <w:p>
      <w:r>
        <w:rPr>
          <w:b/>
        </w:rPr>
        <w:t>E. 11</w:t>
      </w:r>
    </w:p>
    <w:p>
      <w:r>
        <w:t>Avec le présent arrêt, la demande de dispense de paiement de l'avance des frais de procédure est privée d'objet. Le Tribunal admet la requête d'assistance judiciaire partielle des recourants, compte tenu de leur indigence et du fait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