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E-7724/2006 vom 19. Januar 2010</w:t>
      </w:r>
    </w:p>
    <w:p>
      <w:r>
        <w:t>Bundesverwaltungsgericht, 2010-01-19, DE</w:t>
      </w:r>
    </w:p>
    <w:p>
      <w:r>
        <w:rPr>
          <w:b/>
        </w:rPr>
        <w:t xml:space="preserve">Quelle: </w:t>
      </w:r>
      <w:r>
        <w:t>https://mcp.opencaselaw.ch/entscheid/bvger_E-7724_2006</w:t>
      </w:r>
    </w:p>
    <w:p>
      <w:r>
        <w:t>FR: TAF E-7724/2006 du 19 janvier 2010</w:t>
      </w:r>
    </w:p>
    <w:p>
      <w:r>
        <w:t>IT: TAF E-7724/2006 del 19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verweist als Einleitung seiner Rechtsmitteleingabe auf den von ihm anlässlich der Anhörungen vorgebrachten Sachverhalt und macht geltend, das BFM habe zu Unrecht seine Minderjährigkeit und seine Herkunft aus dem Norden Ugandas als nicht glaubhaft gemacht bezeichnet (vgl. Beschwerde S. 2 f.). Er rügt, das BFM habe den Untersuchungsgrundsatz und die Begründungspflicht verletzt; insbesondere habe es die Vorinstanz fälschlicherweise unterlassen, weitere Abklärungen zu den wichtigen Angaben des Beschwerdeführers über sein Alter und seine Herkunftsregion vorzunehmen. Konkret müsse vorgehalten werden, dass keine Herkunftsanalyse der Fachstelle LINGUA vorgenommen worden sei, die in solchen Fällen manchmal Klarheit schaffe. Ebenfalls sei auf ergänzende Massnahmen zur Eruierung des ungefähren Alters verzichtet worden. So hätte unter anderem ein Knochenaltersgutachten bei der Interpretation der übrigen Indizien hilfreich sein können. Zudem würden die teilweise nur ungenauen Aussagen des Beschwerdeführers und die Art und Weise, wie sie gemacht worden seien, auf eine kindliche Persönlichkeit schliessen. Das Gleiche gelte auch bezüglich der Einschätzungen der Sozialpädagogin des Durchgangszentrums G._______ (vgl. ihr Schreiben vom 7. Dezember 2006) und des Beistands. Solche Aussagen hätten schliesslich einen höheren Beweiswert als diejenigen schematisch urteilender Befrager oder einer Fotografie (vgl. Beschwerde S. 3 f.).</w:t>
      </w:r>
    </w:p>
    <w:p>
      <w:r>
        <w:rPr>
          <w:b/>
        </w:rPr>
        <w:t>E. 4.2</w:t>
      </w:r>
    </w:p>
    <w:p>
      <w:r>
        <w:t>Zur Frage der Minderjährigkeit des Beschwerdeführers ist vorab festzustellen, dass dieser bei unterstellter Richtigkeit seiner Altersangabe am _______ volljährig geworden wäre. In Anbetracht dieses Umstandes erübrigt es sich nunmehr weitgehend, an dieser Stelle auf die betreffenden Rügen und Vorbringen weiter einzugehen. Immerhin kann hier der Vollständigkeit halber einerseits festgehalten werden, dass die diesbezügliche Argumentation der Vorinstanz einen nachvollziehbaren und grundsätzlich praxiskonformen Eindruck hinterlässt. Ausserdem sind radiologische Knochenaltersgutachten notorisch ungenau und haben - vorbehältlich eines erheblichen Auseinanderklaffens zwischen angegebenem und von der Knochenstruktur abgeleitetem Alter - deshalb nur sehr beschränkte Aussagekraft (vgl. Entscheidungen und Mitteilungen der ARK [EMARK] 2005 Nr. 16 E. 2 und 3 mit Hinweisen auf die Praxis); sie sind insbesondere gerade generell nicht geeignet, die Minderjährigkeit des Exploranden sicher festzustellen oder auszuschliessen (vgl. EMARK 2004 Nr. 30 S. 210 f.). Schliesslich kann an dieser Stelle auch darauf hingewiesen werden, dass das BFM für den Beschwerdeführer vorsorglich eine rechtskundige Vertrauensperson bestimmt hatte, die an der einlässlichen Anhörung vom 29. August 2006 teilgenommen hatte.</w:t>
      </w:r>
    </w:p>
    <w:p>
      <w:r>
        <w:rPr>
          <w:b/>
        </w:rPr>
        <w:t>E. 4.3</w:t>
      </w:r>
    </w:p>
    <w:p>
      <w:r>
        <w:t>Was die Glaubhaftigkeit der vom Beschwerdeführer zu Protokoll gegebenen Ausreisegründe und auch der Angaben zu seiner angeblichen Herkunftsregion im Norden Ugandas betrifft, gelangt das Bundesverwaltungsgericht zum Schluss, dass die angefochtene Verfügung einer Überprüfung im Ergebnis standhält: Der Beschwerdeführer räumt in seiner Beschwerdeeingabe selber ein, dass einige seiner Angaben zum Sachverhalt teilweise ungenau seien, was allerdings als Hinweis auf seine noch kindliche Persönlichkeit gewertet wird (vgl. Beschwerde S. 4). Dieses Argument vermag deshalb nicht zu überzeugen, weil der Beschwerdeführer beim Verlassen seines Landes gemäss seinen Angaben immerhin _______-jährig war und eine gewisse Schulbildung genossen hatte und im interessierenden Kontext nicht komplexe Lebenssachverhalte zu schildern waren. Ausserdem hat der Beschwerdeführer mit der beschwerlichen Reise nach Europa und der selbstständigen Einleitung eines Asylverfahrens in einem fremden Kulturkreis den Tatbeweis einer gewissen Reife erbracht. Unter diesen Umständen hat das BFM zu Recht auf bestimmte Ungereimtheiten und Widersprüchlichkeiten hingewiesen - beispielsweise auf die nicht vereinbaren Aussagen zum Ort des angeblichen Überfalls durch die LRA-Rebellen (vgl. EVZ-Protokoll S. 5 und kantonales Protokoll S. 12) - und auf die Unglaubhaftigkeit der Asylvorbringen respektive Ausreisegründe geschlossen. Auch die Angaben des Beschwerdeführers zu den Reiseumständen sowie zum Fehlen jeglicher rechtsgenüglicher Reisedokumente sind als wirklichkeitsfremde und offensichtlich unzutreffende Vorbringen zu qualifizieren, welche sich nicht mit dem jugendlichen Alter erklären lassen. Bis heute hat der Beschwerdeführer im Übrigen nichts Erkennbares unternommen, um seine Identität und Herkunft rechtsgenüglich nachzuweisen.</w:t>
      </w:r>
    </w:p>
    <w:p>
      <w:r>
        <w:rPr>
          <w:b/>
        </w:rPr>
        <w:t>E. 4.4</w:t>
      </w:r>
    </w:p>
    <w:p>
      <w:r>
        <w:t>Hinzu kommt, dass die geltend gemachten Vorgänge des Jahres 2003 - wiederum bei unterstellter Glaubhaftigkeit - auch nicht als flüchtlingsrechtlich relevant zu bezeichnen wären, da sie in Bezug auf den Zeitpunkt der Ausreise bereits zu weit zurücklagen und offensichtlich auch nicht den unmittelbaren Anlass für das Verlassen des Heimatlandes bildeten. Nach seinen Angaben habe der Beschwerdeführer nach den durch die LRA provozierten Vorkommnissen nämlich noch ungefähr drei Jahre lang unbehelligt bei einem Pfarrer gelebt. Erst am 20. Mai 2006 habe er auf dessen Veranlassung das Land verlassen (vgl. EVZ-Protokoll S. 5). Der Beschwerdeführer hat denn auch für den Ausreisezeitpunkt keine zielgerichtete Verfolgungssituation geltend gemacht, sondern als Grund für das Verlassen des Landes vage und unsubstanziiert von einer instabilen und unsicheren Lage gesprochen, jedoch auch klar zu Protokoll gegeben, mit den heimatlichen Behörden nie irgendwelche Schwierigkeiten gehabt zu haben (vgl. EVZ-Protokoll S. 5, kantonales Protokoll S. 10 und 11).</w:t>
      </w:r>
    </w:p>
    <w:p>
      <w:r>
        <w:rPr>
          <w:b/>
        </w:rPr>
        <w:t>E. 4.5</w:t>
      </w:r>
    </w:p>
    <w:p>
      <w:r>
        <w:t>Zusammenfassend folgt, dass der Beschwerdeführer die zur Begründung seines Gesuchs geltend genachten Gründe nicht glaubhaft machen konnte. Die Nichtanerkennung der Flüchtlingseigenschaft und die Ablehnung des Asylgesuchs wurden von ihm nicht angefochten. Für die beantragte Rückweisung des Verfahrens zur Neubeurteilung an die Vorinstanz besteht nach dem oben Gesagten keine Veranlassung. Die Beschwerde ist deshalb im Hauptpunkt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Weder die allgemeine Lage in Uganda noch die persönliche Situation des Beschwerdeführers lassen auf eine konkrete Gefährdung schliessen. Schliesslich bestehen keine anderen Hinweise, dass er bei einer Rückkehr in den Heimatstaat in eine konkrete, seine Existenz bedrohende Situation geraten könnte. Der Beschwerdeführer will nach seinen unbelegten Angaben aus dem Norden Ugandas stammen. Abgesehen von der deutlichen Verbesserung der Sicherheitslage in dieser Region seit dem Abzug der Rebellen vor einigen Jahren (vgl. etwa US Department of State, 2008 Human Rights Report: Uganda, 25. Februar 2009) würde es dem volljährigen jungen Mann auch freistehen, sich nach der Rückkehr in den Heimatstaat im Süden des Landes niederzulassen. Angesichts der unbelegten und weitgehend unglaubhaften Angaben zu den persönlichen Verhältnisse darf im Übrigen davon ausgegangen werden, dass der Beschwerdeführer in seinem Heimatstaat über ein familiäres oder soziales Beziehungsnetz verfügt (vgl. EVZ-Protokoll S. 3 f. und kantonales Protokoll S. 3).</w:t>
      </w:r>
    </w:p>
    <w:p>
      <w:r>
        <w:rPr>
          <w:b/>
        </w:rPr>
        <w:t>E. 6.3.2</w:t>
      </w:r>
    </w:p>
    <w:p>
      <w:r>
        <w:t>Unter diesen Umständen kann der Vollzug der Wegweisung des noch jungen und - von der Schwerhörigkeit auf einem Ohr abgesehen - offenbar gesunden Beschwerdeführers als zumutbar bezeichnet werden.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Die Anordnung der vorläufigen Aufnahme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(vgl. Art. 63 Abs. 1 VwVG). Nachdem gemäss Akten von seiner prozessualen Bedürftigkeit auszugehen ist und die Beschwerdebegehren nicht aussichtslos im Sinne von Art. 65 Abs. 1 VwVG zu bezeichnen waren, ist das in der Beschwerde gestellte Gesuch um Gewährung der unentgeltlichen Rechtspflege gutzuheissen.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