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E-7706/2010 vom 3. Februar 2011</w:t>
      </w:r>
    </w:p>
    <w:p>
      <w:r>
        <w:t>Bundesverwaltungsgericht, 2011-02-03, FR</w:t>
      </w:r>
    </w:p>
    <w:p>
      <w:r>
        <w:rPr>
          <w:b/>
        </w:rPr>
        <w:t xml:space="preserve">Quelle: </w:t>
      </w:r>
      <w:r>
        <w:t>https://mcp.opencaselaw.ch/entscheid/bvger_E-7706_2010</w:t>
      </w:r>
    </w:p>
    <w:p>
      <w:r>
        <w:t>FR: TAF E-7706/2010 du 3 février 2011</w:t>
      </w:r>
    </w:p>
    <w:p>
      <w:r>
        <w:t>IT: TAF E-7706/2010 del 3 febbraio 2011</w:t>
      </w:r>
    </w:p>
    <w:p>
      <w:pPr>
        <w:pStyle w:val="Heading2"/>
      </w:pPr>
      <w:r>
        <w:t>Regeste</w:t>
      </w:r>
    </w:p>
    <w:p>
      <w:r>
        <w:t>Asile et renvoi (recours 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demande du 23 août 2010 est rejetée, en tant qu'elle constitue, avec le recours du 31 octobre 2010, une demande de révision de l'arrêt du Tribunal, du 28 avril 2010.</w:t>
      </w:r>
    </w:p>
    <w:p>
      <w:r>
        <w:rPr>
          <w:b/>
        </w:rPr>
        <w:t>E. 2</w:t>
      </w:r>
    </w:p>
    <w:p>
      <w:r>
        <w:t>Le recours contre la décision du 29 septembre 2010, en tant qu'elle rejette la demande de réexamen, est rejeté.</w:t>
      </w:r>
    </w:p>
    <w:p>
      <w:r>
        <w:rPr>
          <w:b/>
        </w:rPr>
        <w:t>E. 3</w:t>
      </w:r>
    </w:p>
    <w:p>
      <w:r>
        <w:t>Les frais de procédure par Fr. 1200.- sont mis à la charge du recourant. Ils sont compensés par son avance du 18 novembre 2010.</w:t>
      </w:r>
    </w:p>
    <w:p>
      <w:r>
        <w:rPr>
          <w:b/>
        </w:rPr>
        <w:t>E. 4</w:t>
      </w:r>
    </w:p>
    <w:p>
      <w:r>
        <w:t>Le présent arrêt est adressé au recourant, à l'ODM et à l'autorité cantonale. Le président du collège : La greffière : Jean-Pierre Monnet Isabelle Fournier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