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E-7697/2015 vom 29. Juni 2017</w:t>
      </w:r>
    </w:p>
    <w:p>
      <w:r>
        <w:t>Bundesverwaltungsgericht, 2017-06-29, DE</w:t>
      </w:r>
    </w:p>
    <w:p>
      <w:r>
        <w:rPr>
          <w:b/>
        </w:rPr>
        <w:t xml:space="preserve">Quelle: </w:t>
      </w:r>
      <w:r>
        <w:t>https://mcp.opencaselaw.ch/entscheid/bvger_E-7697_2015</w:t>
      </w:r>
    </w:p>
    <w:p>
      <w:r>
        <w:t>FR: TAF E-7697/2015 du 29 juin 2017</w:t>
      </w:r>
    </w:p>
    <w:p>
      <w:r>
        <w:t>IT: TAF E-7697/2015 del 29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 August 2015 illegal nach Ungarn in das Hoheitsgebiet der Dublin-Staaten eingereist war. Das SEM ersuchte deshalb die ungarischen Behörden am 10. September 2015 um Übernahme des Beschwerdeführers unter Hinweis auf Art. 13 Abs. 1 Dublin-III-VO. Die ungarischen Behörden liessen das Übernahmeersuchen innert der in Art. 22 Abs. 1 Dublin-III-VO vorgesehenen Frist unbeantwortet, womit sie die Zuständigkeit Ungarns implizit anerkannten (Art. 22 Abs. 7 Dublin-III-VO). Der Beschwerdeführer bestreitet die grundsätzliche Zuständigkeit dieses Mitgliedstaates nicht, weshalb diese grundsätzlich gegeben wäre.</w:t>
      </w:r>
    </w:p>
    <w:p>
      <w:r>
        <w:rPr>
          <w:b/>
        </w:rPr>
        <w:t>E. 6.1</w:t>
      </w:r>
    </w:p>
    <w:p>
      <w:r>
        <w:t>Im Lichte von Art. 3 Abs. 2 Dublin-III-VO ist jedoch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Aus den gleichen Gründen, wie im vorgenannten Referenzurteil beschrieben, ist es dem Gericht auch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7</w:t>
      </w:r>
    </w:p>
    <w:p>
      <w:r>
        <w:t>Nach dem Gesagten ist die Beschwerde gutzuheissen, soweit die Aufhebung der vorinstanzlichen Verfügung beantragt wurde.</w:t>
      </w:r>
    </w:p>
    <w:p>
      <w:r>
        <w:rPr>
          <w:b/>
        </w:rPr>
        <w:t>E. 8.1</w:t>
      </w:r>
    </w:p>
    <w:p>
      <w:r>
        <w:t>Bei diesem Ausgang des Verfahrens sind keine Kosten zu erheben (Art. 63 Abs. 1-3 VwVG). Das Gesuch um Gewährung der unentgeltlichen Prozessführung ist damit gegenstandslos geworden.</w:t>
      </w:r>
    </w:p>
    <w:p>
      <w:r>
        <w:rPr>
          <w:b/>
        </w:rPr>
        <w:t>E. 8.2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Es wurde keine Kostennote eingereicht. Indes lässt sich der Aufwand aufgrund der Aktenlage hinlänglich einschätzen. Die Parteientschädigung ist auf insgesamt Fr. 1000.-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