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E-7677/2024 vom 13. Januar 2025</w:t>
      </w:r>
    </w:p>
    <w:p>
      <w:r>
        <w:t>Bundesverwaltungsgericht, 2025-01-13, DE</w:t>
      </w:r>
    </w:p>
    <w:p>
      <w:r>
        <w:rPr>
          <w:b/>
        </w:rPr>
        <w:t xml:space="preserve">Quelle: </w:t>
      </w:r>
      <w:r>
        <w:t>https://mcp.opencaselaw.ch/entscheid/bvger_E-7677_2024</w:t>
      </w:r>
    </w:p>
    <w:p>
      <w:r>
        <w:t>FR: TAF E-7677/2024 du 13 janvier 2025</w:t>
      </w:r>
    </w:p>
    <w:p>
      <w:r>
        <w:t>IT: TAF E-7677/2024 del 13 gennaio 2025</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w:t>
      </w:r>
    </w:p>
    <w:p>
      <w:r>
        <w:t>E-7677/2024 Seite 5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Der Beschwerdeführer macht geltend, die Vorinstanz habe ihre Be- gründungspflicht verletzt, indem diese ihre angefochtene Verfügung nur generell begründet habe. Sie habe sich mit seinem Vorbringen nicht aus- einandergesetzt und insbesondere seine individuelle Situation nicht beach- tet. Dabei handelt es sich um formelle Rügen, welche bei deren Gutheissung grundsätzlich eine Kassation der vorinstanzlichen Verfügung zur Folge ha- ben könnten und mithin vorab zu beurteilen sind.</w:t>
      </w:r>
    </w:p>
    <w:p>
      <w:r>
        <w:rPr>
          <w:b/>
        </w:rPr>
        <w:t>E. 4.2</w:t>
      </w:r>
    </w:p>
    <w:p>
      <w:r>
        <w:t>Das Bundesverwaltungsgericht gelangt nach Durchsicht der Akten zum Schluss, dass die Vorinstanz den rechtserheblichen Sachverhalt rechts- genüglich festgestellt hat. Sie hat ausführlich und begründet dargelegt, weshalb die Vorbringen des Beschwerdeführers unter Berücksichtigung der eingereichten Beweismittel weder den Anforderungen an die Glaub- haftmachung noch an die Flüchtlingseigenschaft genügen. Zudem wurde dem Beschwerdeführer vorgängig das rechtliche Gehör zum Ergebnis der Analyse der von ihm eingereichten Justizdokumente gewährt. Die Rüge der Verfahrenspflichtverletzung (Art. 29 VwVG) erweist sich daher als un- begründet. Eine Rückweisung aus diesen Gründen kommt daher nicht in Betracht.</w:t>
      </w:r>
    </w:p>
    <w:p>
      <w:r>
        <w:t>E-7677/2024 Seite 6</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von Asylvorbringen in verschiedenen Entscheiden dargelegt und folgt dabei ständiger Praxis. Darauf kann hier verwiesen werden (vgl. BVGE 2015/3 E. 6.5.1, 2013/11 E. 5.1 und 2010/57 E. 2.3, je m.w.H.).</w:t>
      </w:r>
    </w:p>
    <w:p>
      <w:r>
        <w:rPr>
          <w:b/>
        </w:rPr>
        <w:t>E. 6.1</w:t>
      </w:r>
    </w:p>
    <w:p>
      <w:r>
        <w:t>In der angefochtenen Verfügung gelangte die Vorinstanz zum Schluss, die Vorbringen des Beschwerdeführers würden weder den Anforderungen an das Glaubhaftmachen gemäss Art. 7 AsylG noch denjenigen an die Flüchtlingseigenschaft gemäss Art. 3 AsylG standhalten. Die vom Beschwerdeführer aufgrund seiner Ethnie geltend gemachten Dis- kriminierungen durch Privatpersonen gingen in ihrer Intensität nicht über die Nachteile hinaus, welche weite Teile der kurdischen Bevölkerung in der Türkei in ähnlicher Weise treffen würde. Vielmehr handle es sich um iso- lierte Ereignisse, die über die Jahre ohne systematische Verfolgung erfolgt seien und den Beschwerdeführer nicht veranlasst hätten, seinen Heimat- staat zu verlassen. Gleiches gelte für die Befürchtung der Unrechtsbehand- lung im Militärdienst aufgrund seiner kurdischen Ethnie. Dieser sei auf- grund seines Studiums bis ins Jahr 2029 aufgeschoben, womit es an einer flüchtlingsrechtlich relevanten Aktualität fehle.</w:t>
      </w:r>
    </w:p>
    <w:p>
      <w:r>
        <w:t>E-7677/2024 Seite 7 In Bezug auf die Teilnahme an einer illegalen Demonstration verbunden mit einer Verurteilung zu einer Haftstrafe habe der Beschwerdeführer Justizdo- kumente zu den Akten gereicht, welche zahlreiche Fälschungsmerkmale aufweisen würden. Diese Einschätzung habe der Beschwerdeführer auch nicht umstossen können, womit sich eine weitere Glaubhaftigkeitsprüfung erübrige. Dies gelte umso mehr, da der Beschwerdeführer auch die Teil- nahme an der besagten Kundgebung nicht habe substantiieren und damit glaubhaft machen können. Mit seiner Stellungnahme vom 25. November 2024 habe er zudem keine Tatsachen oder Beweismittel vorgelegt, welche zu einer anderen Einschätzung führen würden. In der Beschwerde führte der Beschwerdeführer im Wesentlichen aus, seine zu den Akten gereichten Beweismittel seien echt. Die Praxis der Vo- rinstanz zum Umgang mit Beweismitteln aus der Türkei sei bedenklich. Ihm werde neben anderen Straftaten auch «Propagandabetreibung» zuguns- ten der PKK (Partiya Karkerên Kurdistanê) sowie die Mitgliedschaft bei der- selben Organisation vorgeworfen. Diesbezüglich sei bekannt, dass die tür- kischen Behörden nicht zimperlich mit Beschuldigten beziehungsweise Verurteilten umgehen würden. Das gegen ihn ergangene Urteil habe er an- gefochten und es sei beim Kassationshof hängig. Sollte er zurückkehren, würde er mit Sicherheit bereits am Flughafen festgenommen werden. Hierzu sei auf die Länderanalyse der Schweizerischen Flüchtlingshilfe vom</w:t>
      </w:r>
    </w:p>
    <w:p>
      <w:r>
        <w:rPr>
          <w:b/>
        </w:rPr>
        <w:t>E. 7</w:t>
      </w:r>
    </w:p>
    <w:p>
      <w:r>
        <w:t>Juli 2017, mit Bezug auf deren Bericht vom Mai 2017 sowie die Berichte des UNO-Sonderberichterstatters zu Folter (Dezember 2016), von Amne- sty International (Februar 2017) und von Human Rights Watch (Januar 2017) zu verweisen. Der Analyse könne entnommen werden, dass der tür- kische Staat bereits im Sommer 2015 in der Osttürkei den Sicherheitskräf- ten im Krieg gegen die PKK Straflosigkeit zugesprochen habe. Ebenso ge- nüge bereits ein kleiner Verdacht, um wegen Terrorpropaganda oder Un- terstützung des Terrorismus verhaftet zu werden. Eine angebliche Verbin- dung zur PKK genüge sogar für eine Verurteilung zu einer langjährigen Haftstrafe. Ferner werde ein Datenblatt angelegt, welches auch nach einer Einstellung des Strafverfahrens nicht gelöscht werde. Dies würde bei einer Rückkehr in seinen Heimatstaat bereits zu einer konkreten Gefahr für ihn führen.</w:t>
      </w:r>
    </w:p>
    <w:p>
      <w:r>
        <w:rPr>
          <w:b/>
        </w:rPr>
        <w:t>E. 7.1</w:t>
      </w:r>
    </w:p>
    <w:p>
      <w:r>
        <w:t>Die vorinstanzlichen Erwägungen sind nach Prüfung der Akten nicht zu beanstanden und es kann vorab auf diese verwiesen werden.</w:t>
      </w:r>
    </w:p>
    <w:p>
      <w:r>
        <w:t>E-7677/2024 Seite 8</w:t>
      </w:r>
    </w:p>
    <w:p>
      <w:r>
        <w:rPr>
          <w:b/>
        </w:rPr>
        <w:t>E. 7.1.1</w:t>
      </w:r>
    </w:p>
    <w:p>
      <w:r>
        <w:t>Die Vorinstanz hat einlässlich begründet, warum davon auszugehen ist, dass es sich bei den vom Beschwerdeführer eingereichten Strafdoku- menten um Fälschungen handelt. Das Gericht teilt diese Einschätzung. Der Beschwerdeführer hat den festgestellten Fälschungsmerkmalen nichts ent- gegengesetzt und beschränkte sich im Rahmen seiner Stellungnahme zum erteilten rechtlichen Gehör auf eine pauschale Kritik an der Einschätzung der Vorinstanz und den Verweis, dass er die Unterlagen über den kurzfristig engagierten heimatlichen Anwalt erhalten habe und dessen Arbeitsweise nicht gut kenne. Sofern auf Beschwerdeebene ausgeführt wird, die Echt- heit der eingereichten Dokumente könne beim Schweizerischen General- konsulat überprüft werden (Beschwerde S. 5), impliziert dies den Antrag, es seien weitere Abklärungen beim Schweizerischen Generalkonsulat in Istanbul vorzunehmen. Angesichts des Ergebnisses des internen Analyse- berichts und des gewährten rechtlichen Gehörs zum wesentlichen Inhalt der Analyse ist der rechtserhebliche Sachverhalt als genügend erstellt zu erachten und es erübrigen sich weitere Abklärungen. Der implizite Antrag auf weitere Abklärungen ist daher abzuweisen.</w:t>
      </w:r>
    </w:p>
    <w:p>
      <w:r>
        <w:rPr>
          <w:b/>
        </w:rPr>
        <w:t>E. 7.1.2</w:t>
      </w:r>
    </w:p>
    <w:p>
      <w:r>
        <w:t>Auch in der Beschwerde wird nichts Stichhaltiges vorgebracht, was zu einer anderen Einschätzung führen könnte. Zudem ist festzustellen, dass die Ausführungen des Beschwerdeführers zu den Umständen seiner angeblichen Teilnahme an einer Demonstration am 21. Juli 2020, welche letztlich zum Verfahren gegen ihn geführt haben soll, unsubstanziiert ge- blieben sind (vgl. act. 19/15 F60 ff.). Es kann daher darauf verzichtet wer- den, auf die weiteren allgemein gehaltenen Ausführungen des Beschwer- deführers zum Umgang mit PKK-Unterstützern einzugehen. Ebenso kann eine weitere Auseinandersetzung mit der Frage der Asylrelevanz seiner Vorbringen unterbleiben, da sie als nicht glaubhaft zu erachten sind.</w:t>
      </w:r>
    </w:p>
    <w:p>
      <w:r>
        <w:rPr>
          <w:b/>
        </w:rPr>
        <w:t>E. 7.1.3</w:t>
      </w:r>
    </w:p>
    <w:p>
      <w:r>
        <w:t>Soweit der Beschwerdeführer auf die allgemeinen Diskriminierungen der kurdischen Bevölkerung hinweist, kann daraus mangels Gezieltheit und Intensität nichts zu Gunsten des Beschwerdeführers abgeleitet wer- den.</w:t>
      </w:r>
    </w:p>
    <w:p>
      <w:r>
        <w:rPr>
          <w:b/>
        </w:rPr>
        <w:t>E. 7.1.4</w:t>
      </w:r>
    </w:p>
    <w:p>
      <w:r>
        <w:t>Der Beschwerdeführer hat Familienmitglieder in der Schweiz. Aus diesem Verhältnis lässt sich ebenfalls nicht auf ein relevantes Profil des Beschwerdeführers schliessen. Seine Eltern halten sich im ausländerrecht- lichen Kontext auf. Sein Bruder hat in der Schweiz am 29. Dezember 2022 (N […]) Asyl erhalten. Der Beschwerdeführer macht in Bezug auf den Bru- der jedoch nichts geltend, was auf eine mögliche Reflexverfolgung oder Furcht vor einer solchen schliessen lassen könnte.</w:t>
      </w:r>
    </w:p>
    <w:p>
      <w:r>
        <w:t>E-7677/2024 Seite 9</w:t>
      </w:r>
    </w:p>
    <w:p>
      <w:r>
        <w:rPr>
          <w:b/>
        </w:rPr>
        <w:t>E. 7.1.5</w:t>
      </w:r>
    </w:p>
    <w:p>
      <w:r>
        <w:t>Sodann ist abschliessend festzustellen, dass der Beschwerdeführer am 30. März 2022 legal aus dem Heimatstaat ausgereist ist und sich bis zur Asylgesuchstellung nach eigenem Bekunden immer wieder für längere Zeiträume aufenthaltsrechtlich nicht bewilligt in der Schweiz aufgehalten hat. Ein Asylgesuch hat er erst am 30. Oktober 2024 gestellt. Zuvor war bereits am 24. Oktober 2023 eine ausländerrechtliche Wegweisungsver- fügung gegen ihn ausgesprochen worden. Dieses Verhalten entspricht nicht dem einer Person, die tatsächlich Schutz vor Verfolgung sucht.</w:t>
      </w:r>
    </w:p>
    <w:p>
      <w:r>
        <w:rPr>
          <w:b/>
        </w:rPr>
        <w:t>E. 7.2</w:t>
      </w:r>
    </w:p>
    <w:p>
      <w:r>
        <w:t>Zusammenfassend ist festzuhalten, dass der Beschwerdeführer keine Vorverfolgung hat glaubhaft machen können und auch nicht davon auszu- gehen ist, dass er bei einer Rückkehr in die Türkei in naher Zukunft aus flüchtlingsrechtlich relevanten Gründen ernsthaften Nachteilen im Sinne von Art. 3 Abs. 2 AsylG ausgesetzt wäre. Die Vorinstanz hat die Flücht- lingseigenschaft des Beschwerdeführers zu Recht verneint und das Asyl- gesuch ebenfalls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w:t>
      </w:r>
    </w:p>
    <w:p>
      <w:r>
        <w:rPr>
          <w:b/>
        </w:rPr>
        <w:t>E. 9.2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t>E-7677/2024 Seite 10</w:t>
      </w:r>
    </w:p>
    <w:p>
      <w:r>
        <w:rPr>
          <w:b/>
        </w:rPr>
        <w:t>E. 9.3.1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 gender Strafe oder Behandlung unterworfen werden.</w:t>
      </w:r>
    </w:p>
    <w:p>
      <w:r>
        <w:rPr>
          <w:b/>
        </w:rPr>
        <w:t>E. 9.3.2</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Türkei ist demnach unter dem Aspekt von Art. 5 AsylG recht- mässig. Ferner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in der Türkei lässt den Wegweisungsvollzug zum heutigen Zeitpunkt nicht als unzulässig erscheinen. Nach dem Gesagten ist der Vollzug der Wegweisung sowohl</w:t>
      </w:r>
    </w:p>
    <w:p>
      <w:r>
        <w:t>E-7677/2024 Seite 11 im Sinne der landes- als auch der völkerrechtlichen Bestimmungen zuläs- sig.</w:t>
      </w:r>
    </w:p>
    <w:p>
      <w:r>
        <w:rPr>
          <w:b/>
        </w:rPr>
        <w:t>E. 9.4.1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9.4.2</w:t>
      </w:r>
    </w:p>
    <w:p>
      <w:r>
        <w:t>Auch unter Berücksichtigung des Wiederaufflammens des türkisch- kurdischen Konfliktes, der bewaffneten Auseinandersetzungen zwischen der PKK und staatlichen Sicherheitskräften seit Juli 2015 in verschiedenen Provinzen im Südosten des Landes sowie der Entwicklungen nach dem Militärputschversuch im Juli 2016 ist gemäss konstanter Praxis des Bun- desverwaltungsgerichts nicht von einer Situation allgemeiner Gewalt oder bürgerkriegsähnlichen Verhältnissen in der Türkei – auch nicht für Angehö- rige der kurdischen Ethnie – auszugehen (vgl. statt vieler Urteil des BVGer E-1327/2024 vom 17. April 2024 E. 8.3.2 m.w.H. sowie Referenzurteile E- 1948/2018 vom 12. Juni 2018 E. 7.3.1 und E-4103/2024 vom 8. November 2024 E. 13). Der Beschwerdeführer stammt aus B._______ und studierte in E._______, beides Städte, welche im Übrigen auch nicht vom Erdbeben im Frühjahr 2023 betroffen gewesen sind. Im Weiteren sind keine individuellen Gründe ersichtlich, die gegen eine Zu- mutbarkeit der Wegweisung sprechen. Wie bereits durch die Vorinstanz festgestellt, handelt es sich beim Beschwerdeführer gemäss Akten um ei- nen gesunden jungen Mann, welcher arbeitsfähig ist und über eine gute schulische Ausbildung verfügt. So kann er bei einer Rückkehr in seinen Heimatstaat sein Studium wiederaufnehmen. Daneben verfügt er zusätz- lich über ein breites familiäres und soziales Beziehungsnetz sowohl in der Türkei als auch in Europa, welches ihm unterstützend zur Seite stehen kann.</w:t>
      </w:r>
    </w:p>
    <w:p>
      <w:r>
        <w:rPr>
          <w:b/>
        </w:rPr>
        <w:t>E. 9.4.3</w:t>
      </w:r>
    </w:p>
    <w:p>
      <w:r>
        <w:t>Nach dem Gesagten erweist sich der Vollzug der Wegweisung auch als zumutbar.</w:t>
      </w:r>
    </w:p>
    <w:p>
      <w:r>
        <w:rPr>
          <w:b/>
        </w:rPr>
        <w:t>E. 9.5</w:t>
      </w:r>
    </w:p>
    <w:p>
      <w:r>
        <w:t>Der Beschwerdeführer verfügt über eine türkische Identitätskarte und es ist ihm zuzumuten, sich bei der zuständigen Vertretung des Heimatstaa- tes die für eine Rückkehr allenfalls notwendigen weiteren Reisedokumente</w:t>
      </w:r>
    </w:p>
    <w:p>
      <w:r>
        <w:t>E-7677/2024 Seite 12 zu beschaffen (vgl. Art. 8 Abs. 4 AsylG und dazu auch BVGE 2008/34 E. 12), weshalb der Vollzug der Wegweisung auch als möglich zu bezeich- 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Beschwerdefüh- rer aufzuerlegen (Art. 63 Abs. 1 VwVG). Das Gesuch um Gewährung der unentgeltlichen Prozessführung im Sinne von Art. 65 Abs. 1 VwVG ist ‒ ungeachtet der belegten Bedürftigkeit ‒ abzuweisen, da sich die Be- schwerde – wie sich aus den vorstehenden Erwägungen ergibt – als aus- sichtslos im Sinne dieser Bestimmung erwies. Das Gesuch um Verzicht eines Kostenvorschusses ist mit dem vorliegenden Direktentscheid gegen- standslos geworden. Demzufolge hat der Beschwerdeführer die Verfah- renskosten von Fr. 750.– (Art. 1–3 des Reglements vom 21. Februar 2008 über die Kosten und Entschädigungen vor dem Bundesverwaltungsgericht [VGKE, SR 173.320.2]) zu tragen.</w:t>
      </w:r>
    </w:p>
    <w:p>
      <w:r>
        <w:t>(Dispositiv nächste Seite)</w:t>
      </w:r>
    </w:p>
    <w:p>
      <w:r>
        <w:t>E-7677/2024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