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E-766/2015 vom 26. Februar 2015</w:t>
      </w:r>
    </w:p>
    <w:p>
      <w:r>
        <w:t>Bundesverwaltungsgericht, 2015-02-26, FR</w:t>
      </w:r>
    </w:p>
    <w:p>
      <w:r>
        <w:rPr>
          <w:b/>
        </w:rPr>
        <w:t xml:space="preserve">Quelle: </w:t>
      </w:r>
      <w:r>
        <w:t>https://mcp.opencaselaw.ch/entscheid/bvger_E-766_2015</w:t>
      </w:r>
    </w:p>
    <w:p>
      <w:r>
        <w:t>FR: TAF E-766/2015 du 26 février 2015</w:t>
      </w:r>
    </w:p>
    <w:p>
      <w:r>
        <w:t>IT: TAF E-766/2015 del 26 febbraio 2015</w:t>
      </w:r>
    </w:p>
    <w:p>
      <w:pPr>
        <w:pStyle w:val="Heading2"/>
      </w:pPr>
      <w:r>
        <w:t>Regeste</w:t>
      </w:r>
    </w:p>
    <w:p>
      <w:r>
        <w:t>Attribution d'un demandeur d'asile à un canton</w:t>
      </w:r>
    </w:p>
    <w:p>
      <w:pPr>
        <w:pStyle w:val="Heading2"/>
      </w:pPr>
      <w:r>
        <w:t>Erwägungen</w:t>
      </w:r>
    </w:p>
    <w:p>
      <w:r>
        <w:rPr>
          <w:b/>
        </w:rPr>
        <w:t>E. 1.1</w:t>
      </w:r>
    </w:p>
    <w:p>
      <w:r>
        <w:t>Le Tribunal administratif fédéral (ci-après : le Tribunal), en vertu de l'art. 31 LTAF (RS 173.32), connaît des recours contre les décisions au sens de l'art. 5 PA (RS 172.021) prises par les autorités mentionnées à l'art. 33 LTAF. En particulier, la décision attaquée a été prononcée par le SEM, unité administrative fédérale au sens de l'art. 33 let. d LTAF. Elle peut donc être contestée devant le Tribunal, lequel statue définitivement (cf. art. 83 let. c ch. 3 et let. d ch. 1 LTF [RS 173.110]).</w:t>
      </w:r>
    </w:p>
    <w:p>
      <w:r>
        <w:rPr>
          <w:b/>
        </w:rPr>
        <w:t>E. 1.2</w:t>
      </w:r>
    </w:p>
    <w:p>
      <w:r>
        <w:t>Le recourant a qualité pour recourir (cf. art. 48 al. 1 PA). Présenté dans la forme (cf. art. 52 al. 1 PA) et dans le délai (cf. art. 50 al. 1 PA) prescrits par la loi, le recours est recevable.</w:t>
      </w:r>
    </w:p>
    <w:p>
      <w:r>
        <w:rPr>
          <w:b/>
        </w:rPr>
        <w:t>E. 2.1</w:t>
      </w:r>
    </w:p>
    <w:p>
      <w:r>
        <w:t>C'est à tort que le recourant s'est fondé sur l'art. 27 LAsi et l'art. 22 OA 1. Ces dispositions légales règlent les conditions dans lesquelles sont prises les décisions d'attribution des requérants d'asile à un canton pour la suite de la procédure d'asile ; il s'agit de décisions que l'art. 107 al. 1 LAsi qualifie de décisions incidentes. Ainsi, dès l'entrée en force du prononcé d'un renvoi, il n'y a plus de place pour un changement de canton en application de ces dispositions (cf. dans le même sens, arrêt du TF 2A.361/2004 du 15 septembre 2004 consid. 1.3). Par conséquent, c'est à tort que le recourant a reproché au SEM de ne pas avoir entendu les deux cantons concernés au sujet de son transfert, au sens des dispositions précitées.</w:t>
      </w:r>
    </w:p>
    <w:p>
      <w:r>
        <w:rPr>
          <w:b/>
        </w:rPr>
        <w:t>E. 2.2</w:t>
      </w:r>
    </w:p>
    <w:p>
      <w:r>
        <w:t>La loi sur l'asile ne prévoit ainsi aucune possibilité de changement de canton pour les requérants dont la procédure d'asile est définitivement close, comme tel est le cas en l'espèce. A ce stade, peuvent tout au plus encore entrer en ligne de compte les mesures concrètes devant amener ces requérants déboutés à quitter la Suisse, le cas échéant par des mesures de contrainte. Lorsque des requérants d'asile déboutés se plaignent de mesures internes qui les empêchent d'entretenir une vie familiale, ils doivent suivre les règles du droit interne de procédure et de compétence pour modifier une attribution cantonale (cf. ATF 137 I 113 consid. 6.4 ; cf. également arrêt du Tribunal E-493/2014 du 23 juillet 2014 consid. 2.4). Or, le droit suisse donne une compétence primaire aux cantons tant pour l'examen d'une demande de délivrance d'une autorisation de séjour que pour le refus d'une telle autorisation, qui doit, le cas échéant, être accompagné de mesures de renvoi (cf. en particulier, art. 33, 36, 37 al. 1, 64 al. 1, 69 al. 1 LEtr [RS 142.20]). Ce n'est qu'en présence de circonstances exceptionnelles, du genre de celles jugées par la CourEDH dans les affaires Agraw c. Suisse et Mengesha Kimfe c. Suisse précitées (cf. let. F), que l'on pourra admettre que le SEM doive se saisir d'une demande de changement de canton, même après le refus définitif de l'asile (cf. ATF 137 I 113 consid. 6.2 et 6.3 ; cf. également arrêt du Tribunal E-493/2014 du 23 juillet 2014). Dans ces arrêts, la CourEDH a jugé que le refus de modifier l'attribution cantonale d'un couple de demandeurs d'asile déboutés et en attente de leur renvoi constituait, eu égard au caractère exceptionnel des circonstances de l'affaire, une restriction à la vie familiale incompatible avec l'art. 8 CEDH.</w:t>
      </w:r>
    </w:p>
    <w:p>
      <w:r>
        <w:rPr>
          <w:b/>
        </w:rPr>
        <w:t>E. 2.3</w:t>
      </w:r>
    </w:p>
    <w:p>
      <w:r>
        <w:t>En l'occurrence, le Tribunal considère, pour autant que le recourant puisse se prévaloir de l'art. 8 par. 1 CEDH, question qui peut rester indécise en l'espèce, que le cas particulier ne revêt pas un caractère exceptionnel au sens de la jurisprudence susmentionnée de la CourEDH.</w:t>
      </w:r>
    </w:p>
    <w:p>
      <w:r>
        <w:rPr>
          <w:b/>
        </w:rPr>
        <w:t>E. 2.3.1</w:t>
      </w:r>
    </w:p>
    <w:p>
      <w:r>
        <w:t>Ainsi, force est de constater que des circonstances exceptionnelles au sens de la jurisprudence précitée de la CourEDH font défaut. Principalement, la prolongation du séjour en Suisse du recourant n'est pas involontaire, mais due uniquement à son comportement (cf. arrêt Agraw c. Suisse, op. cit., § 50 ss). En effet, l'autorité cantonale compétente a annoncé la disparition de l'intéressé depuis le 11 avril 2014, soit quelques jours seulement après la décision de l'ODM rejetant sa demande d'asile et ordonnant l'exécution de son renvoi de Suisse. Le recourant a ensuite été contrôlé en situation de séjour irrégulier dans le canton de C._______, le (...), et transféré le lendemain dans son canton d'attribution aux fins de placement en détention pour une durée de trois mois, soit jusqu'au (....) (cf. Urteil des Einzelrichters für Zwangsmassnahmen im Ausländerrecht vom (...), Kantonsgericht (...) - Abteilung (...). Puis, le recourant a à nouveau été déclaré comme ayant disparu, depuis le 13 janvier 2015. Néanmoins, le recourant fait l'objet d'une mesure d'exécution du renvoi depuis de nombreux mois. Par conséquent, la présente affaire ne revêt pas un caractère exceptionnel dans le sens que le refus de modifier l'attribution cantonale du recourant, en attente de son renvoi, constituerait une restriction à sa vie familiale incompatible avec l'art. 8 CEDH.</w:t>
      </w:r>
    </w:p>
    <w:p>
      <w:r>
        <w:rPr>
          <w:b/>
        </w:rPr>
        <w:t>E. 2.4</w:t>
      </w:r>
    </w:p>
    <w:p>
      <w:r>
        <w:t>Au vu de ce qui précède, le Tribunal retient que le SEM n'était pas tenu, à juste titre, d'entrer en matière sur la demande du recourant de changement de canton d'attribution.</w:t>
      </w:r>
    </w:p>
    <w:p>
      <w:r>
        <w:rPr>
          <w:b/>
        </w:rPr>
        <w:t>E. 3</w:t>
      </w:r>
    </w:p>
    <w:p>
      <w:r>
        <w:t>Le recours s'avérant manifestement infondé, il est rejeté dans une procédure à juge unique, avec l'approbation d'un second juge (art. 111 let. e LAsi). Il est dès lors renoncé à un échange d'écritures, le présent arrêt n'étant que sommairement motivé (cf. art. 111a al. 1 et 2 LAsi).</w:t>
      </w:r>
    </w:p>
    <w:p>
      <w:r>
        <w:rPr>
          <w:b/>
        </w:rPr>
        <w:t>E. 4</w:t>
      </w:r>
    </w:p>
    <w:p>
      <w:r>
        <w:t>Dans la mesure où les conclusions du recours étaient d'emblée vouées à l'échec, la requête d'assistance judiciaire partielle doit être rejetée (cf. art. 65 al. 1 PA).</w:t>
      </w:r>
    </w:p>
    <w:p>
      <w:r>
        <w:rPr>
          <w:b/>
        </w:rPr>
        <w:t>E. 5</w:t>
      </w:r>
    </w:p>
    <w:p>
      <w:r>
        <w:t>Au vu de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