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E-7667/2015 vom 26. April 2016</w:t>
      </w:r>
    </w:p>
    <w:p>
      <w:r>
        <w:t>Bundesverwaltungsgericht, 2016-04-26, DE</w:t>
      </w:r>
    </w:p>
    <w:p>
      <w:r>
        <w:rPr>
          <w:b/>
        </w:rPr>
        <w:t xml:space="preserve">Quelle: </w:t>
      </w:r>
      <w:r>
        <w:t>https://mcp.opencaselaw.ch/entscheid/bvger_E-7667_2015</w:t>
      </w:r>
    </w:p>
    <w:p>
      <w:r>
        <w:t>FR: TAF E-7667/2015 du 26 avril 2016</w:t>
      </w:r>
    </w:p>
    <w:p>
      <w:r>
        <w:t>IT: TAF E-7667/2015 del 26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der Beschwerdeführer trage die Beweislast für die behauptete Minderjährigkeit. Er habe jedoch keinerlei Ausweispapiere oder andere Dokumente zu den Akten gegeben, die seine Identität bestätigen könnten. Er habe auch nicht nachvollziehbar erklären können, woher er sein Alter kenne. Er habe lediglich angeführt, seine Mutter habe es ihm mitgeteilt. Auch die übrigen Antworten auf das ihm gewährte rechtliche Gehör bezüglich des Alters seien ohne Substanz ausgefallen.</w:t>
      </w:r>
    </w:p>
    <w:p>
      <w:r>
        <w:rPr>
          <w:b/>
        </w:rPr>
        <w:t>E. 5.2</w:t>
      </w:r>
    </w:p>
    <w:p>
      <w:r>
        <w:t>Der Beschwerdeführer beanstandet in der Rechtsmitteleingabe einerseits, dass kein medizinisches Gutachten zur Altersbestimmung eingeholt worden sei, und anderseits, sei es für ihn unmöglich, Ausweispapiere in seinem Heimatstaat zu organisieren. Gemäss Rechtsprechung trägt eine asylsuchende Person die objektive Beweislast für die behauptete Minderjährigkeit und die Folgen der Beweislosigkeit; diese Beweislastregel wirkt sich zuungunsten einer asylsuchenden Person aus, wenn die Behauptung der Minderjährigkeit tatsächlich unbewiesen bleibt, das heisst, wenn weder der asylsuchenden Person der Nachweis gelingt, dass sie weniger als 18 Jahre alt ist, noch der Behörde, dass sie 18-jährig oder älter ist (vgl. zum Ganzen etwa Entscheidungen und Mitteilungen der Schweizerischen Asylrekurskommission [EMARK] 2004 Nr. 30). Vorliegend muss sich der Beschwerdeführer vorhalten lassen, keinerlei Anstrengungen unternommen zu haben, um seine Identität und seine Vorbringen zu belegen, womit er die ihm obliegende Mitwirkungspflicht (Art. 8 AsylG und Art. 13 VwVG), auf welche er hingewiesen worden ist, in schwerwiegender Weise verletzt. Kommt die asylsuchende Person ihrer Mitwirkungspflicht bei der Erhebung der Personalien nicht oder nur in ungenügendem Masse nach, so dass deren Angaben zu ihrem Alter und zur unterbliebenen Abgabe von Identitätspapieren völlig unsubstanziiert bleiben, ist es nicht zu beanstanden, wenn die Vorinstanz keine weiteren Altersabklärungen vorgenommen hat, sondern angesichts der Mitwirkungsverweigerung des Beschwerdeführers von der Beweislosigkeit und damit - nach der Beweislastverteilungsregel von Art. 8 ZGB - von der Unglaubhaftigkeit der geltend gemachten Minderjährigkeit ausgeht. Somit hat die Vorinstanz zu Recht den Beschwerdeführer für das Asylverfahren als volljährig betrachtet.</w:t>
      </w:r>
    </w:p>
    <w:p>
      <w:r>
        <w:rPr>
          <w:b/>
        </w:rPr>
        <w:t>E. 5.3</w:t>
      </w:r>
    </w:p>
    <w:p>
      <w:r>
        <w:t>Es ist weiter zu prüfen, ob es dem Beschwerdeführer gelungen ist, die Flüchtlingseigenschaft nachzuweisen oder zumindest glaubhaft zu machen. Die Vorinstanz führte zur Begründung der angefochtenen Verfügung aus, die Vorbringen des Beschwerdeführers würden keine asylbeachtliche Verfolgung im Sinne von Art. 3 AsylG darstellen. Der Beschwerdeführer habe angegeben, als ethnischer Peul in seinem Heimatland gehasst worden zu sein und dass Soldaten ethnische Peul oft umbringen würden. Er habe nach seiner Rückkehr nach eigenen Angaben keine Probleme mit den guineischen Behörden gehabt. Er sei politisch nicht tätig gewesen und er habe während der Wahlen auch keine konkrete Rolle eingenommen. Ferner habe der Beschwerdeführer angegeben, er sei von den Benachteiligungen der Regierung gegenüber den Peul persönlich nicht betroffen gewesen. Weiter führte die Vorinstanz aus, dass zwischen dem Vorfall im Jahre 2009 an einer Demonstration in C._______ und seiner Flucht im Jahre 2014 in zeitlicher Hinsicht kein genügend enger Kausalzusammenhang bestehe. Ebenso stelle der Ausbruch der Ebola-Seuche in Guinea keine asylrechtliche Verfolgung im Sinne von Art. 3 AsylG dar.</w:t>
      </w:r>
    </w:p>
    <w:p>
      <w:r>
        <w:rPr>
          <w:b/>
        </w:rPr>
        <w:t>E. 5.4</w:t>
      </w:r>
    </w:p>
    <w:p>
      <w:r>
        <w:t>Der Beschwerdeführer verweist in der Rechtsmitteleingabe nochmals auf die allgemeine und politische Situation der Ethnie Peul in Guinea hin. Diese allgemeinen Vorbringen in der Beschwerdeschrift sind offensichtlich nicht geeignet, eine Änderung der vorinstanzlichen Verfügung zu bewirken. Eine Auseinandersetzung mit den vorinstanzlichen Erwägungen findet nicht statt. Der Beschwerdeführer konnte weder eine individuelle Verfolgung in seinem Heimatstaat noch das Vorliegen einer Kollektivverfolgung der Peul tatbestandlich darlegen (vgl. BVGE 2013/12 E. 6). Um Wiederholungen zu vermeiden, kann auf die vorinstanzliche Verfügung des Staatssekretariats vollumfänglich verwiesen werden. In diesem Zusammenhang ist im Übrigen darauf hinzuweisen, dass Guinea Ende Dezember 2015 als frei vom Ebola-Virus erklärt worden ist und sich das Land nun in einer Phase erhöhter Überwachung befindet (vgl. http://www.who.int/features/2016/ebola-contacts-vaccination/en/, abgerufen am 13. April 2016). Ferner erhielt der Beschwerdeführer gemäss eigenen Angaben nach seiner Verletzung an der Demonstration in C._______ im Spital die medizinisch notwendige Behandlung.</w:t>
      </w:r>
    </w:p>
    <w:p>
      <w:r>
        <w:rPr>
          <w:b/>
        </w:rPr>
        <w:t>E. 5.5</w:t>
      </w:r>
    </w:p>
    <w:p>
      <w:r>
        <w:t>Nach dem Gesagten erweist sich die Beschwerde als offensichtlich unbegründet. Dem Beschwerdeführer ist es nicht gelungen, eine asylrelevante Verfolgungsgefahr darzutun, weshalb das SEM das Asylgesuch zu Recht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7.2.2</w:t>
      </w:r>
    </w:p>
    <w:p>
      <w:r>
        <w:t>Der Wegweisungsvollzug kann für Ausländerinnen und Ausländer unzumutbar sein, wenn sie im Heimat- oder Herkunftsstaat konkret gefährdet sind (Art. 83 Abs. 4 AuG). Angesichts der heutigen Lage in Guinea kann nicht von einer Situation allgemeiner Gewalt oder von kriegerischen oder bürgerkriegsähnlichen Verhältnissen gesprochen werden, welche für den Beschwerdeführer bei einer Rückkehr eine konkrete Gefährdung darstellen würde. In den Akten finden sich auch keine konkreten Anhaltspunkte dafür, der als volljährig erachtete Beschwerdeführer gerate bei einer Rückkehr aus individuellen Gründen in eine existenzbedrohende Situation, zumal er jung sowie gesund ist und mit seiner Mutter über eine nahestehende Verwandte in Guinea verfügt. Es ist nicht ersichtlich, weshalb er nach seiner Rückkehr in seinen Heimatstaat in eine existenzbedrohende Situation geraten sollte. Bezüglich der Ebola-Seuche kann auf Erwägung 5.4 hiervor verwiesen werden. Der Wegweisungsvollzug ist damit auch als zumutbar zu betrachten.</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