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E-7661/2015 vom 20. Juni 2017</w:t>
      </w:r>
    </w:p>
    <w:p>
      <w:r>
        <w:t>Bundesverwaltungsgericht, 2017-06-20, DE</w:t>
      </w:r>
    </w:p>
    <w:p>
      <w:r>
        <w:rPr>
          <w:b/>
        </w:rPr>
        <w:t xml:space="preserve">Quelle: </w:t>
      </w:r>
      <w:r>
        <w:t>https://mcp.opencaselaw.ch/entscheid/bvger_E-7661_2015</w:t>
      </w:r>
    </w:p>
    <w:p>
      <w:r>
        <w:t>FR: TAF E-7661/2015 du 20 juin 2017</w:t>
      </w:r>
    </w:p>
    <w:p>
      <w:r>
        <w:t>IT: TAF E-7661/2015 del 20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der Beschwerdeführenden mit der Eurodac-Datenbank ergab, dass diese am 12. September 2015 in Ungarn ein Asylgesuch eingereicht hatten.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von den Beschwerdeführenden auch unbestritten blieb.</w:t>
      </w:r>
    </w:p>
    <w:p>
      <w:r>
        <w:rPr>
          <w:b/>
        </w:rPr>
        <w:t>E. 5.1</w:t>
      </w:r>
    </w:p>
    <w:p>
      <w:r>
        <w:t>Die Beschwerdeführenden bringen vor, Ungarn könne seinen Verpflichtungen in Bezug auf die Aufnahme von Asylsuchenden nicht mehr nachkommen. Der Zugang zu einem fairen Asylverfahren sowie einer adäquaten Unterbringung sei nicht gewährleistet, weshalb eine Überstellung Art. 3 EMRK verletzen würde.</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 Mit derselben Begründung, wie sie vorstehend dargelegt wurde, ist es dem Gericht vorliegend nicht möglich, die Vorbringen der Beschwerde vom 27. November 2015 zu beurteilen. Die Verfügung der Vorinstanz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 Das Gesuch um Gewährung der unentgeltlichen Rechtspflege und Verzicht auf die Erhebung eines Kostenvorschusses wird somit gegenstandslos.</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Das Gericht setzt die Parteientschädigung von Amtes wegen aufgrund der Akten fest und bestimmt diese vorliegend auf Fr. 600.-. Dieser Betrag ist den Beschwerdeführenden als Parteientschädigung zuzusprechen und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