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E-7639/2010 vom 24. Mai 2011</w:t>
      </w:r>
    </w:p>
    <w:p>
      <w:r>
        <w:t>Bundesverwaltungsgericht, 2011-05-24, DE</w:t>
      </w:r>
    </w:p>
    <w:p>
      <w:r>
        <w:rPr>
          <w:b/>
        </w:rPr>
        <w:t xml:space="preserve">Quelle: </w:t>
      </w:r>
      <w:r>
        <w:t>https://mcp.opencaselaw.ch/entscheid/bvger_E-7639_2010</w:t>
      </w:r>
    </w:p>
    <w:p>
      <w:r>
        <w:t>FR: TAF E-7639/2010 du 24 mai 2011</w:t>
      </w:r>
    </w:p>
    <w:p>
      <w:r>
        <w:t>IT: TAF E-7639/2010 del 24 maggio 2011</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Zur Begründung seines Entscheides führte das BFM aus: "Zu den vom Beschwerdeführer vorgebrachten und befürchteten Nachteilen - sofern sie angesichts seiner widersprüchlichen Angaben über den Zeitpunkt der ersten Festnahme (...) und dem Umstand, dass die türkischen Sicherheitsdienste ein Interesse daran gehabt haben müssten, dass der Beschwerdeführer weiterhin Beziehungen zum BDP unterhalte, um Informationen liefern zu können - ist Folgendes festzustellen" (Verfügung v. 27.9.2010, S. 3 oben): Gemäss dem Subsidiaritätsprinzip seien Personen mit einer innerstaatlichen Fluchtalternative nicht auf den Schutz eines Drittstaates angewiesen. Der Beschwerdeführer mache geltend, in seiner engeren Heimat (B._______) Behelligungen ausgesetzt gewesen zu sein. Er könne sich diesen aber durch Wegzug in eine andere Region des Heimatstaates entziehen. Die Realisierung einer innerstaatlichen Aufenthaltsalternative sei als zumutbar zu erachten, habe der Beschwerdeführer mit seiner Wohnsitznahme in Istanbul im Juni 2010 diese doch bereits vollzogen. Auch handle es sich beim Beschwerdeführer um einen gesunden, jungen Mann mit solider schulischer Ausbildung. Die Verfolgungsvorbringen seien nicht asylbeachtlich und hielten den Anforderungen an die Flüchtlingseigenschaft gemäss Art. 3 AsylG nicht stand. Demzufolge erfülle der Beschwerdeführer die Flüchtlingseigenschaft nicht, so dass das Asylgesuch abzulehnen sei.</w:t>
      </w:r>
    </w:p>
    <w:p>
      <w:r>
        <w:rPr>
          <w:b/>
        </w:rPr>
        <w:t>E. 4.2</w:t>
      </w:r>
    </w:p>
    <w:p>
      <w:r>
        <w:t>In der Beschwerde wird geltend gemacht, der Beschwerdeführer stamme aus einer kurdischen Familie, die sich seit Jahren für die demokratischen Rechte der Kurden einsetze. Er sei innerhalb des Jugendflügels der DTP aktiv gewesen, nach deren Verbot in der BDP. Es sei eine Tatsache, dass alle prokurdischen Parteien und ihre Mitglieder vom türkischen Geheimdienst beobachtet würden, da Letztere als potenzielle Terroristen gelten würden. Die Behauptung des BFM, die Vorbringen des Beschwerdeführers seien nicht glaubhaft, sei nicht stichhaltig. Der Staat gehe nicht zimperlich mit prokurdischen legalen Parteien um. Aufgrund seiner Aktivitäten sei der Beschwerdeführer den Sicherheitskräften ein Dorn im Auge. Es liege auf der Hand, dass solche Leute bei Festnahmen Angst hätten, gefoltert beziehungsweise getötet zu werden. Aufgrund dieser Realitäten habe der Beschwerdeführer genau gewusst, dass er bei einer erneuten Festnahme vor Gericht gestellt würde. Deshalb sei er geflohen, und die innerstaatliche Fluchtalternative hätte auf lange Dauer nichts gebracht. Die Vorbringen des Beschwerdeführers würden somit den Anforderungen von Art. 7 AsylG an die Glaubwürdigkeit und von Art. 3 an die Anerkennung der Flüchtlingsgeigenschaft genügen. Bei einer allfälligen Rückschaffung sei er an Leib, Leben und Freiheit gefährdet, eine Wegweisung sei somit unzumutbar.</w:t>
      </w:r>
    </w:p>
    <w:p>
      <w:r>
        <w:rPr>
          <w:b/>
        </w:rPr>
        <w:t>E. 5</w:t>
      </w:r>
    </w:p>
    <w:p>
      <w:r>
        <w:t>5.1. Vorweg ist klarzustellen, dass es sich bei der doch recht knapp gefassten vorinstanzlichen Verfügung entgegen der diesbezüglichen Formulierung (Ziff. II 1 S. 3) nicht um einen Nichteintretensentscheid handelt. Es liegt offensichtlich ein redaktionelles Versehen vor, indem Art. 44 Abs. 1 AsylG verkürzt und nicht korrekt zitiert wird, lautet dieser doch: "Lehnt das Bundesamt das Asylgesuch ab oder tritt es darauf nicht ein, ...". Auch aus dem Dispositiv der Verfügung geht klar hervor, dass es sich nicht um einen Nichteintretensentscheid handelt (Dispositivziffern 1 und 2). Eine weitere Klarstellung betrifft die Beschwerde. Darin wird die Behauptung des BFM, die Vorbringen des Beschwerdeführers seien nicht glaubhaft, bestritten (S. 5 letzter Absatz). Indessen hat die Vorinstanz dies gar nicht getan, vielmehr in ihren Erwägungen ausdrücklich festgehalten: "Bei offensichtlich fehlender Asylrelevanz kann darauf verzichtet werden, auf allfällige Unglaubhaftigkeitselemente in den Vorbringen des Gesuchstellers einzugehen." (Verfügung Ziff. I S. 2).</w:t>
      </w:r>
    </w:p>
    <w:p>
      <w:r>
        <w:rPr>
          <w:b/>
        </w:rPr>
        <w:t>E. 5.2</w:t>
      </w:r>
    </w:p>
    <w:p>
      <w:r>
        <w:t>Die Beschwerde erschöpft sich weitgehend darin, die im vorinstanzlichen Verfahren vom Beschwerdeführer gemachten Ausführungen zu bekräftigen und in Teilen näher zu erläutern. Eine vertiefte Auseinandersetzung mit den Erwägungen des BFM zur offensichtlich fehlenden Asylrelevanz fehlt weitgehend; die Rechtsmitteleingabe geht nicht darüber hinaus, das Umfeld, in welchem sich der Beschwerdeführer bewegte, die spezifische prokurdische Szene und das Vorgehen der türkischen Sicherheitskräfte auszuleuchten. Als Fazit wird behauptet - und ist für die weitere Prüfung der Aktenlage von Bedeutung - , die Vorbringen des Beschwerdeführers würden den Anforderungen von Art. 7 AsylG an die Glaubwürdigkeit und von Art. 3 AsylG an die Anerkennung der Flüchtlingseigenschaft genügen; es stehe fest, dass er bei einer Rückschaffung an Leib, Leben und Freiheit mit an Sicherheit grenzender Wahrscheinlichkeit gefährdet wäre, eine Wegweisung sei somit unzumutbar. Der Beschwerdeführer überdehnt damit den Prüfungsrahmen: Es geht einzig darum zu prüfen, ob die Vorbringen asylrelevant im Sinne des Gesetzes sind.</w:t>
      </w:r>
    </w:p>
    <w:p>
      <w:r>
        <w:rPr>
          <w:b/>
        </w:rPr>
        <w:t>E. 5.3</w:t>
      </w:r>
    </w:p>
    <w:p>
      <w:r>
        <w:t>Der Beschwerdeführer gibt an, sich für die prokurdische Sache eingesetzt zu haben, Mitglied zunächst der DTP und nach deren Verbot der neu gegründeten BDP gewesen zu sein und deswegen Probleme mit der Polizei bekommen zu haben. Er sei unter Druck gesetzt worden, für die Behörden Spitzeldienste zu leisten. Da er sich in seiner Heimat nicht mehr sicher gefühlt habe, sei er zunächst nach Istanbul gegangen und dann in die Schweiz gereist. Ausdrücklich gab er auf eine entsprechende Frage hin an, das Schlimmste, was er in Kontakten mit den türkischen Sicherheitskräften erlebt habe, sei der Druck gewesen, den man auf ihn ausgeübt habe; er gab weiter zu Protokoll, nicht gefoltert worden zu sein (Anhörungsprotokoll F20 A). Die Festnahmen hätten (...) gedauert (a.a.O. F27 A) beziehungsweise (...) (a.a.O. F31 A). In der Beschwerde wird in diesem Kontext in zunächst allgemein gehaltenen Ausführungen auf die Tötung von DTP-Mitgliedern hingewiesen und sodann konkret in Bezug auf die Person des Beschwerdeführers ausgeführt, dieser habe die Brutalität der Sicherheitskräfte am eigenen Leib erfahren (mehrmalige unmenschliche Behandlung). Dies steht im klaren Widerspruch zu den vom Beschwerdeführer selbst gemachten, auffallend wenig substanziierten Aussagen zu Einzelheiten der behaupteten Behelligungen. Er hat weder in der Befragung noch anlässlich der Anhörung von einem unmenschlichen und brutalen Vorgehen der Polizei etwas gesagt. Ganz im Gegenteil hat er selber das Vorgehen als "Belästigung" qualifiziert (a.a.O. F15 A), welche er einem Menschenrechtsverein gemeldet habe. Es kann ohne weitere diesbezügliche Erwägungen geschlossen werden, dass auch bei der Annahme, der Beschwerdeführer sei tatsächlich unter Druck gesetzt worden, für die Polizei zu arbeiten, die geltend gemachten Behelligungen nicht über das hinausgehen, was Teile der kurdischen Bevölkerung zu ertragen haben. An dieser Einschätzung des Gerichts ändert auch das nachträglich im Original eingereichte Dokument (Referenzschreiben der BDP) nichts, und es muss in diesem Kontext auch nicht auf die Behauptung des BFM, welchem allerdings nur eine Kopie des Schreibens vorlag, es seien daran Manipulationen vorgenommen worden, eingegangen werden, denn der Beschwerdeführer kann daraus nichts zu seinen Gunsten ableiten, weil diesem Schreiben einzig zu entnehmen ist, er sei Mitglied der DTP gewesen, habe später für die BDP gearbeitet, und die Sicherheitsbehörden würden gegen solche Leute nicht zimperlich vorgehen, es sei zu Verhaftungen und Todesdrohungen gekommen.</w:t>
      </w:r>
    </w:p>
    <w:p>
      <w:r>
        <w:rPr>
          <w:b/>
        </w:rPr>
        <w:t>E. 5.4</w:t>
      </w:r>
    </w:p>
    <w:p>
      <w:r>
        <w:t>Es ist verständlich, dass der Beschwerdeführer aufgrund der allgemeinen Lage in der Türkei und der speziellen Situation der Kurden sich verunsichert fühlt. Wie vorstehend aber ausgeführt, hielten sich die geltend gemachten Behelligungen in engen Grenzen, und der Beschwerdeführer verfügt nicht über ein Profil, das ihn zur Zielscheibe der Sicherheitsbehörden machen würde. Dafür spricht insbesondere auch, dass er die Türkei problemlos und legal auf dem Luftweg verlassen konnte.</w:t>
      </w:r>
    </w:p>
    <w:p>
      <w:r>
        <w:rPr>
          <w:b/>
        </w:rPr>
        <w:t>E. 5.5</w:t>
      </w:r>
    </w:p>
    <w:p>
      <w:r>
        <w:t>Zusammenfassend ist festzuhalten, dass dem Beschwerdeführer keine begründete Furch vor ihm drohender asylrechtlich relevanter Verfolgung zuerkannt werden kann. Es erübrigt sich, auf die weiteren Ausführungen in der Beschwerde einzugehen, da sie an dieser Einschätzung des Sachverhalts nichts zu ändern vermögen. Das BFM hat das Asylgesuch zu Recht abgelehnt.</w:t>
      </w:r>
    </w:p>
    <w:p>
      <w:r>
        <w:rPr>
          <w:b/>
        </w:rPr>
        <w:t>E. 6</w:t>
      </w:r>
    </w:p>
    <w:p>
      <w:r>
        <w:t>Die Abweisung eines Asylgesuchs hat in der Regel die Wegweisung aus der Schweiz zur Folge (Art. 44 Abs. 1 AsylG). Vorliegend hat der Kanton keine Aufenthaltsbewilligung erteilt und es besteht kein Anspruch auf Erteilung einer solchen (vgl. BVGE 2008/34 E. 9.2), weshalb die verfügte Wegweisung im Einklang mit den gesetzlichen Bestimmungen steht und demnach vom Bundesamt zu Recht angeordnet wurde.</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7.2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diesem Aspekt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nicht gelungen ist. Das Bundesverwaltungs-gericht hält es zwar durchaus für möglich, dass die Sicherheitskräfte ihn behelligt haben, aber die vorgebrachten Pressionen erreichten in keiner Weise ein Ausmass, das asylrelevant wäre. Er ist zwar - trotz der legal und problemlos erfolgten Ausreise - nicht völlig auszuschliessen, dass er bei einer Rückkehr in sein Heimatland routinemässig überprüft wird; da jedoch nichts gegen ihn vorliegt, besteht kein Grund zur Annahme, er würde weitergehenden behördlichen Massnahmen ausgesetzt sein. Zudem lässt auch die allgemeine Menschenrechtssituation in der Türkei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der Türkei herrscht zurzeit kein Krieg, kein Bürgerkrieg und keine Situation allgemeiner Gewalt, weshalb unter diesem Aspekt von der generellen Zumutbarkeit des Wegweisungsvollzugs dorthin auszugehen ist.</w:t>
      </w:r>
    </w:p>
    <w:p>
      <w:r>
        <w:rPr>
          <w:b/>
        </w:rPr>
        <w:t>E. 7.6</w:t>
      </w:r>
    </w:p>
    <w:p>
      <w:r>
        <w:t>Wie vorstehend ausgeführt, muss sich der Beschwerdeführer bei einer Rückkehr in die Türkei keiner konkreten Gefährdung ausgesetzt sehen. Aufgrund der Aktenlage ist nicht davon auszugehen, dass ihm Behelligungen drohen, die zwar nicht die von Art. 3 EMRK geforderte Intensität erreichen, eine Rückkehr aber trotzdem als unzumutbar er-scheinen lassen. Er verfügt in seiner Heimat über ein familiäres und darüber hinausgehendes Beziehungsnetz. Im Übrigen hat der noch recht junge, gemäss Aktenlage gesunde Beschwerdeführer, der über eine gute Schulbildung und Berufserfahrung verfügt, mit seinem Wegzug nach Istanbul gezeigt, dass er durchaus in der Lage ist, sich nötigenfalls in einem anderen Teil der Türkei zurechtzufinden.</w:t>
      </w:r>
    </w:p>
    <w:p>
      <w:r>
        <w:rPr>
          <w:b/>
        </w:rPr>
        <w:t>E. 8</w:t>
      </w:r>
    </w:p>
    <w:p>
      <w:r>
        <w:t>Zusammenfassend ergibt sich, dass das BFM den Vollzug der Weg-weisung zu Recht als zulässig, zumutbar und möglich bezeichnete. Die Anordnung der vorläufigen Aufnahme fällt daher nicht in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und 5 VwVG). Sie belaufen sich auf Fr. 600.- und sind mit dem geleisteten Kostenvorschuss in nämlicher Höhe zu verrechnen und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