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E-7638/2015 vom 5. Januar 2016</w:t>
      </w:r>
    </w:p>
    <w:p>
      <w:r>
        <w:t>Bundesverwaltungsgericht, 2016-01-05, DE</w:t>
      </w:r>
    </w:p>
    <w:p>
      <w:r>
        <w:rPr>
          <w:b/>
        </w:rPr>
        <w:t xml:space="preserve">Quelle: </w:t>
      </w:r>
      <w:r>
        <w:t>https://mcp.opencaselaw.ch/entscheid/bvger_E-7638_2015</w:t>
      </w:r>
    </w:p>
    <w:p>
      <w:r>
        <w:t>FR: TAF E-7638/2015 du 5 janvier 2016</w:t>
      </w:r>
    </w:p>
    <w:p>
      <w:r>
        <w:t>IT: TAF E-7638/2015 del 5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des vorliegenden Verfahrens bildet einzig die Flüchtlingseigenschaft. Der Asylpunkt wird von der Beschwerdeführerin nicht angefochten und der Wegweisungsvollzug ist nicht mehr zu prüfen, nachdem die Vorinstanz die vorläufige Aufnahme wegen Unzumutbarkeit des Vollzugs der Wegweisung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macht geltend, der Sachverhalt sei unvollständig erstellt beziehungsweise gewürdigt. Sie sei im Rahmen der bewilligten Familienzusammenführung in die Schweiz gelangt. Die Vorinstanz mache hierzu keine Ausführungen.</w:t>
      </w:r>
    </w:p>
    <w:p>
      <w:r>
        <w:rPr>
          <w:b/>
        </w:rPr>
        <w:t>E. 3.1.1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3.1.2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3.1.3</w:t>
      </w:r>
    </w:p>
    <w:p>
      <w:r>
        <w:t>Die Rüge geht fehl. Die Akten zur Familienzusammenführung liegen vollständig im Dossier der Vorinstanz. Die Vorinstanz führt sodann in der angefochtenen Verfügung auch aus, dass die Beschwerdeführerin im Rahmen der Familienzusammenführung in die Schweiz gekommen ist. Das entsprechende Verfahren wurde mit der Einreisebewilligung der Beschwerdeführerin vom 17. Januar 2012 abgeschlossen. Die Beschwerdeführerin reiste am 23. Mai 2012 in die Schweiz ein und stellte am 29. Mai 2012 ein Asylgesuch, womit das Asylverfahren begonnen hat. Das Verfahren um Familienzusammenführung ist damit erstens abgeschlossen und zweitens für das vorliegende Asylverfahren nicht von rechtlicher Relevanz.</w:t>
      </w:r>
    </w:p>
    <w:p>
      <w:r>
        <w:rPr>
          <w:b/>
        </w:rPr>
        <w:t>E. 3.2</w:t>
      </w:r>
    </w:p>
    <w:p>
      <w:r>
        <w:t>Weiter macht die Beschwerdeführerin geltend, es habe an der Anhörung Übersetzungsprobleme gegeben und sie sei ohne eine Vertrauensperson befragt worden.</w:t>
      </w:r>
    </w:p>
    <w:p>
      <w:r>
        <w:rPr>
          <w:b/>
        </w:rPr>
        <w:t>E. 3.2.1</w:t>
      </w:r>
    </w:p>
    <w:p>
      <w:r>
        <w:t>Der Einwand der Beschwerdeführerin, es habe in der Anhörung Übersetzungsprobleme gegeben, geht fehl. Die Beschwerdeführerin gab in der Anhörung zu den Asylgründen zu Protokoll, dass sie den Dolmetscher gut verstehe. Sie bestätigte ausserdem unterschriftlich die Vollständigkeit und Richtigkeit ihrer Aussagen nach der Rückübersetzung Satz für Satz (SEM-Akten, C20/16 S. 15).</w:t>
      </w:r>
    </w:p>
    <w:p>
      <w:r>
        <w:rPr>
          <w:b/>
        </w:rPr>
        <w:t>E. 3.2.2</w:t>
      </w:r>
    </w:p>
    <w:p>
      <w:r>
        <w:t>Gemäss Art. 17 Abs. 3 AsylG i.V.m. Art. 7 Abs. 2 der Asylverordnung 1 vom 11. August 1999 (AsylV 1, SR 142.311) ernennt die zuständige Behörde für unbegleitete minderjährige Asylsuchende eine Vertrauensperson, sofern nicht sofort eine Beistand- oder Vormundschaft eingesetzt werden kann. Bei der Beschwerdeführerin handelt es sich nicht um eine unbegleitete minderjährige Asylsuchende, da sie zusammen mit ihrer Mutter, welche die elterliche Sorge innehat, in der Schweiz wohnt. Die Ernennung einer Vertrauensperson sowie die Begleitung der Beschwerdeführerin durch eine Vertrauensperson an der Anhörung waren somit nicht notwendig.</w:t>
      </w:r>
    </w:p>
    <w:p>
      <w:r>
        <w:rPr>
          <w:b/>
        </w:rPr>
        <w:t>E. 3.3</w:t>
      </w:r>
    </w:p>
    <w:p>
      <w:r>
        <w:t>Zusammenfassend besteht kein Anlass für eine Rückweisung der Sache zur Neubeurteilung an die Vorinstanz.</w:t>
      </w:r>
    </w:p>
    <w:p>
      <w:r>
        <w:rPr>
          <w:b/>
        </w:rPr>
        <w:t>E. 4.1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5.1</w:t>
      </w:r>
    </w:p>
    <w:p>
      <w:r>
        <w:t>Das Bundesverwaltungsgericht geht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5.2</w:t>
      </w:r>
    </w:p>
    <w:p>
      <w:r>
        <w:t>Die Vorinstanz kommt in der angefochtenen Verfügung zum Schluss, es sei auszuschliessen, dass die Beschwerdeführerin begründete Furcht habe, bei einer Rückkehr nach Eritrea ernsthaften Nachteilen im Sinne von Art. 3 AsylG ausgesetzt zu werden. Es sei ihr nicht gelungen, das Vorliegen subjektiver Nachfluchtgründe nachzuweisen oder glaubhaft zu machen, da ausgeschlossen werden könne, dass sie ihr Heimatland unter den geltend gemachten Begebenheiten verlassen habe. Ihre Schilderungen der illegalen Ausreise seien widersprüchlich, spärlich und unsubstantiiert und damit wenig glaubhaft.</w:t>
      </w:r>
    </w:p>
    <w:p>
      <w:r>
        <w:rPr>
          <w:b/>
        </w:rPr>
        <w:t>E. 5.3</w:t>
      </w:r>
    </w:p>
    <w:p>
      <w:r>
        <w:t>Die Beschwerdeführerin wendet dagegen ein, ihre illegale Ausreise aus Eritrea sei glaubhaft, weshalb ihr die Flüchtlingseigenschaft zuzuerkennen sei. Ihrer Minderjährigkeit sei in der angefochtenen Verfügung nicht genügend Rechnung getragen worden. Anlässlich der BzP sei sie erst 14-jährig gewesen. Zudem sei sie in einer schlechten psychischen Verfassung.</w:t>
      </w:r>
    </w:p>
    <w:p>
      <w:r>
        <w:rPr>
          <w:b/>
        </w:rPr>
        <w:t>E. 5.4</w:t>
      </w:r>
    </w:p>
    <w:p>
      <w:r>
        <w:t>Aufgrund der Akten stimmt das Gericht der Vorinstanz darin zu, dass die Vorbringen der Beschwerdeführerin zu den Umständen der Ausreise unglaubhaft sind. Zutreffend stellt die Vorinstanz fest, dass die Beschwerdeführerin zu ihrer Ausreise aus Eritrea in den beiden Befragungen teilweise unterschiedliche Angaben macht. So gab sie in der BzP zu Protokoll, sie sei von ihrem Heimatdorf zu Fuss bis zur äthiopischen Grenze gegangen (SEM-Akten, C4/9 S. 6). In der Anhörung hingegen führt sie aus, sie sei von ihrem Dorf zuerst in eine kleine Stadt gegangen und danach in einem Auto weiter gefahren (SEM-Akten, C20/16 F108). Zudem gibt sie an, bei ihrer Ausreise habe ihr keiner geholfen (SEM-Akten, C4/9 S. 6), während sie später aussagt, ihre Mutter habe alles organisiert und sie sei mit anderen unbekannten Personen und Schleppern gereist (SEM-Akten, C20/16 F107 ff.). Auch sind ihre Aussagen zur angeblich illegalen Ausreise äusserst oberflächlich und ohne jegliche Substanz. Die Beschwerdeführerin antwortet auf jede einzelne Frage einsilbig und weicht den Fragen immer wieder aus (SEM-Akten, C20/16 F107 ff.). Der Befrager lässt der Beschwerdeführerin mit offenen Fragen Raum für freie Erzählungen. Weil von der Beschwerdeführerin jeweils keine substantielle Antwort kommt, versucht er es mit Detailfragen, auf welche die Beschwerdeführerin fast ausschliesslich antwortet, sie wisse es nicht oder sie erinnere sich nicht mehr (SEM-Akten, C20/16 F116, F117, F121, F125, F133 etc.). Von einer 17-jährigen und damit beinahe volljährigen Person wäre zu erwarten, dass sie angesichts des einschneidenden Erlebnisses einer illegalen Ausreise aus Eritrea mehr und substantiierter zu berichten vermag, auch wenn sie durch das Asylverfahren offensichtlich psychisch belastet wird. Des Weiteren kann, um Wiederholungen zu vermeiden, auf die zutreffenden Erwägungen der angefochtenen Verfügung verwiesen werden.</w:t>
      </w:r>
    </w:p>
    <w:p>
      <w:r>
        <w:rPr>
          <w:b/>
        </w:rPr>
        <w:t>E. 5.5</w:t>
      </w:r>
    </w:p>
    <w:p>
      <w:r>
        <w:t>Obwohl die Beschwerdeführerin die wahren Umstände ihrer Ausreise offensichtlich verheimlicht, lässt sich zwar (angesichts des Alters zur Zeit der Ausreise und in Berücksichtigung der Erwägung 5.1) noch nicht mit Bestimmtheit auf eine legale Ausreise schliessen. Aber sie kann auch nicht ausgeschlossen werden. Sich einzig auf die notorisch schwierige Ausreise zu berufen, ohne die konkreten Ausreiseumstände auch nur ansatzweise darzutun, reicht nicht aus. Die Partei wird nämlich auch unter der in Erwägung 5.1 dargelegten Rechtsprechung nicht davon entbunden, subjektive Nachfluchtgründe nachzuweisen oder zumindest glaubhaft zu machen. Die Beweis- und Substantiierungslast gilt von Gesetzes wegen und wird nicht etwa umgekehrt. Unter diesen Umständen ist aufgrund der unglaubhaften Vorbringen im erstinstanzlichen Verfahren, welche im Übrigen ein schiefes Licht auf die persönliche Glaubwürdigkeit der Beschwerdeführerin werfen, und angesichts des vollständigen Fehlens nachvollziehbarer Erklärungen auf Beschwerdeebene festzustellen, dass sie das Vorliegen subjektiver Nachfluchtgründen nicht nachzuweisen oder zumindest glaubhaft zu machen vermag. Die Vorinstanz hat deshalb zu Recht die Flüchtlingseigenschaft der Beschwerdeführerin verneint.</w:t>
      </w:r>
    </w:p>
    <w:p>
      <w:r>
        <w:rPr>
          <w:b/>
        </w:rPr>
        <w:t>E. 6</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ihre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