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E-7635/2008 vom 16. März 2012</w:t>
      </w:r>
    </w:p>
    <w:p>
      <w:r>
        <w:t>Bundesverwaltungsgericht, 2012-03-16, DE</w:t>
      </w:r>
    </w:p>
    <w:p>
      <w:r>
        <w:rPr>
          <w:b/>
        </w:rPr>
        <w:t xml:space="preserve">Quelle: </w:t>
      </w:r>
      <w:r>
        <w:t>https://mcp.opencaselaw.ch/entscheid/bvger_E-7635_2008</w:t>
      </w:r>
    </w:p>
    <w:p>
      <w:r>
        <w:t>FR: TAF E-7635/2008 du 16 mars 2012</w:t>
      </w:r>
    </w:p>
    <w:p>
      <w:r>
        <w:t>IT: TAF E-7635/2008 del 16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ist vorliegend nicht gegeben.</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Das am (...) geborene Kind wird ins vorliegende 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die Asylgesuche der Beschwerdeführenden mit der Begründung abgewiesen, dass deren Vorbringen weder die Anforderungen an die Glaubhaftigkeit noch diejenigen an die Flüchtlingseigenschaft zu erfüllen vermöchten. Als gegen die Glaubhaftigkeit sprechend führte das BFM an, der Beschwerdeführer habe anlässlich der ersten Befragung angegeben, das Haus sei von schwarz gekleideten Männern mit Sturmgewehren beschossen worden. Da er dieses Vorbringen bei der späteren Anhörung nicht mehr erwähnt und auch die Ehefrau keinen solchen Vorfall geltend gemacht habe, sei dieses Ereignis nicht glaubhaft. Des Weiteren habe sich der Beschwerdeführer zum Umstand der zweiten Wegnahme des Autos unterschiedlich geäussert, indem er sowohl zum Ort des Geschehens als auch zum Zeitpunkt divergierende Angaben gemacht habe. Diese widersprüchlichen Angaben erweckten erhebliche Zweifel an der Glaubwürdigkeit der geltend gemachten Vorkommnisse. So könne erwartet werden, dass - auch bei wiederholter Schilderung - fluchtrelevante Ereignisse kohärent und chronologisch richtig dargestellt würden. Der Beschwerdeführer habe auch den Kausalzusammenhang zwischen dem Unfall und dem Überfall nicht näher begründen können. Weiter erwog das BFM zu den Angriffen und Belästigungen der Familie durch Albaner Folgendes: Im Kosovo sei es in den vergangenen Jahren vereinzelt zu schwerwiegenden Übergriffen auf Angehörige der ethnischen Minderheiten, namentlich der Ashkali, gekommen. Es könne jedoch nicht von allgemeinen Vertreibungen ausgegangen werden. Auch nach der Unabhängigkeitserklärung vom 17. Februar 2008 sei für den Kosovo weiterhin eine internationale zivile und militärische Präsenz vorgesehen. Die UNO-Verwaltung (UNMIK) solle sukzessive durch die EU-Mission (EULEX) abgelöst werden. Internationale Sicherheitskräfte sowie der Kosovo Police Service (KPS) garantierten die Sicherheit. Am 15. Juni 2008 sei die neue kosovarische Verfassung in Kraft getreten. Sie gestehe den Minderheiten umfassende Rechte zu. Die internationalen Sicherheitskräfte und der KPS seien in der Lage, die ethnischen Minderheiten im Kosovo zu schützen. Die polizeiliche Präsenz sei gut sichtbar und flächendeckend. Strafgerichtsbarkeit und Strafvollzug funktionierten grösstenteils. Bei Übergriffen intervenierten die Sicherheitskräfte regelmässig, und Straftaten gegen Angehörige von Minderheiten würden geahndet. Demnach sei grundsätzlich vom Vorhandensein eines adäquaten Schutzes durch den Heimatstaat auszugehen. Da die Übergriffe durch Drittpersonen ausgeführt und von den Beschwerdeführenden nicht bei der Polizei angezeigt worden seien, seien diese vorliegend nicht asylrelevant. Die eingereichten Beweismittel vermöchten an diesen Erwägungen nichts zu ändern, da sie nur unbestrittene Bereiche wie die Ethnie und den Autounfall beträfen.</w:t>
      </w:r>
    </w:p>
    <w:p>
      <w:r>
        <w:rPr>
          <w:b/>
        </w:rPr>
        <w:t>E. 4.2</w:t>
      </w:r>
    </w:p>
    <w:p>
      <w:r>
        <w:t>Diesen Erwägungen hält die Rechtsvertreterin in ihrer Beschwerdeschrift vom 28. November 2008 Folgendes entgegen: Die Aussagen seien besser verständlich, wenn man sich vergegenwärtige, dass die Beschwerdeführenden seit jeher unter Diskriminierung und Belästigungen gelitten hätten. Es sei keine Seltenheit, dass Häuser von Roma mit Sturmgewehren beschossen würden. Zweck solcher Angriffe sei die Vertreibung der Minderheiten aus dem Dorf oder die Zahlung von Geldleistungen. Die Beschwerdeführenden hätten so viele Belästigungen erlitten, dass manche zum Alltag gehörten und nicht mehr nennenswert erschienen. Unerwähnt gelassen habe der Beschwerdeführer deswegen auch eine Schussverletzung, welche ihm im April 2008 zugefügt worden sei. Schliesslich dürfe nicht ausser Acht gelassen werden, dass es sich bei den Beschwerdeführenden um ungebildete Personen handle, deren Rechte dauernd mit Füssen getreten worden seien. Die Beschwerdeführenden wüssten selbst nicht mehr genau, was sie in den Anhörungen erwähnt hätten. Zum angeblich fehlenden Kausalzusammenhang zwischen Unfall und Überfall bemerkt die Rechtsvertreterin, es handle sich bloss um eine Vermutung der Beschwerdeführenden, dass diese Vorfälle zusammenhängen könnten. Die Vermutung gründe darauf, dass der albanische Vater des verletzten Kindes den Beschwerdeführer nach dem Unfall nicht mehr in Ruhe gelassen habe, ihn beschimpft und zum Verlassen des Dorfes aufgefordert habe. Auch habe dieser Albaner nicht ertragen, dass der Beschwerdeführer ein Auto fahre und er nicht. Der Argumentation des BFM, wonach die Sicherheit der Minderheiten garantiert sei, hält die Rechtsvertreterin entgegen, die KFOR und die UNMIK seien nicht in der Lage, den Minderheiten Schutz zu gewähren. Bekanntlich sei es im letzten Jahr zu gravierenden Übergriffen auf Ashkali gekommen. Weder die Polizei KPS noch die internationalen Organisationen seien in der Lage gewesen, die Verantwortlichen zur Rechenschaft zu ziehen oder präventive Massnahmen zur künftigen Verhinderung solcher Vorfälle zu treffen.</w:t>
      </w:r>
    </w:p>
    <w:p>
      <w:r>
        <w:rPr>
          <w:b/>
        </w:rPr>
        <w:t>E. 5.1</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Entscheidungen und Mitteilungen der ARK [EMARK] 1995 Nr. 2 E. 3a, 2006 Nr. 18 E. 7-10 und Nr. 32 E. 8.7).</w:t>
      </w:r>
    </w:p>
    <w:p>
      <w:r>
        <w:rPr>
          <w:b/>
        </w:rPr>
        <w:t>E. 5.2</w:t>
      </w:r>
    </w:p>
    <w:p>
      <w:r>
        <w:t>Einleitend sei festgestellt, dass nach Erkenntnissen des Bundesverwaltungsgerichts zum heutigen Zeitpunkt vom Schutzwillen und auch von einer weitgehenden Schutzfähigkeit der im Kosovo tätigen nationalen und internationalen Sicherheitsbehörden, namentlich der UNMIK, des KPS und der KFOR, ausgegangen werden kann. Diesbezüglich kann auf die Lagebeurteilung verwiesen werden, welche die ARK in EMARK 2006 Nr. 10 E. 5.4 zur allgemeinen Situation der Minderheiten in Kosovo vorgenommen hat, und welche sich auch heute noch als zutreffend erweist (vgl. BVGE 2007/10). Die Vertreter der neuen Regierung haben sich sodann im Rahmen der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Zu den von den Beschwerdeführenden geltend gemachten spezifischen Übergriffen und Drohungen, bezüglich welcher sie sich eigenen Angaben zufolge nie an die Behörden des Kosovo gewandt haben, ist mit der Vorinstanz festzustellen, dass diese entweder die Anforderungen an die Glaubhaftigkeit gemäss Art. 7 AsylG oder diejenigen an die Flüchtlingseigenschaft nach Art. 3 AsylG nicht erfüllen. Während die angeblich kurz nach Kriegsende erfolgte Wegnahme des ersten Autos aufgrund des Zeitablaufs klarerweise nicht mehr als ausreise- und damit asylrelevant eingestuft werden kann und auf deren Glaubhaftigkeit somit nicht näher einzugehen ist, gilt es zur zweiten Wegnahme des Autos Folgendes zu bemerken: Weder die Beschwerdeführerin noch der Beschwerdeführer waren in der Lage, übereinstimmende, kohärente und zeitlich stimmige Angaben zu diesem Vorfall zu machen. Das BFM hat diesbezüglich zutreffend erwogen, dass sich der Beschwerdeführer sowohl hinsichtlich Ort als auch Zeit der Wegnahme des Wagens widersprochen hat (vgl. angefochtene Verfügung, Seite 3). Ergänzend dazu ist zu bemerken, dass der Beschwerdeführer im EVZ den nächtlichen Überfall so schilderte, dass er gefesselt und zur Herausgabe der Papiere gezwungen worden sei (vgl. A2/11, S. 6). Bei der erneuten, ausweichenden Schilderung dieses Vorfalls anlässlich der Anhörung vom 21. Juli 2008 (vgl. A13/11, S. 6, Frage 54 und 55) erwähnte der Beschwerdeführer diese Punkte nicht mehr. Er vermochte auch nicht zu sagen, um welche Uhrzeit sich dieses Ereignis zugetragen hat (vgl. a.a.O.). Die Beschwerdeführerin ihrerseits stellte die Wegnahme des Wagens ihres Ehemannes zuerst unmissverständlich in den Zusammenhang mit dessen Personenunfall ("die TMK hat unser Auto beschlagnahmt nach dem Unfall wegen dieser Anzeige" [vgl. A3/10, S. 6]). Im Verlaufe der EVZ-Befragung machte die Beschwerdeführerin dann aber divergierend zu ihren vorherigen Angaben geltend, es habe sich bei den Leuten, die den Wagen mitgenommen hätten, um Leute der UCK mit Bärten gehandelt. Sie könne nicht mehr sagen, wie viele Jahre es her sei, dass diese gekommen seien. Sie habe die Leute gesehen ("ich konnte die Leute schon sehen", [vgl. A3/10, S. 6]), sie habe sie aber nicht gekannt. Anlässlich der Anhörung vom 21. Juli 2008 führte die Beschwerdeführerin zum selben Vorfall aus, dieser sei vielleicht vor etwa zwei Jahren erfolgt. Ihr Mann sei damals mit dem Wagen unterwegs gewesen. Sie sei nicht anwesend gewesen. Die Männer hätten (angeblich) albanisch gesprochen, seien bewaffnet gewesen und hätten den Ehemann aufgefordert auszusteigen, da sie das Auto bräuchten (vgl. A14/9, S. 6). Durch diese uneinheitlichen Darstellungen - sei es durch die Beschwerdeführerin oder durch den Beschwerdeführer - sind massive Zweifel an den Umständen der Wegnahme des Wagens anzubringen. Weitere Zweifel am Sachvortrag ergeben sich sodann auch aus der Schilderung des Vorbringens, dass dem Beschwerdeführer zum Schluss die Mitnahme seiner Person angedroht worden sei. Die Beschwerdeführerin gab im EVZ dazu an, die Leute, die ihren Mann zum Verhör hätten mitnehmen wollen, habe sie nicht gekannt. Die Männer seien normal gekleidet gewesen und hätten keine Bärte getragen (vgl. A3/10, S. 7). Anlässlich der späteren Anhörung führte sie zu diesen Männern aus, sie seien maskiert gewesen und in unterschiedlichen Gruppen erschienen (vgl. A14/9, S. 7). Auf den Widerspruch zu den Aussagen im EVZ angesprochen, führte die Beschwerdeführerin aus, manchmal seien sie eben mit und manchmal ohne Maske gekommen. Sie sei bei der Befragung im Übrigen durcheinander gewesen und wisse nicht mehr, was sie gesagt habe (vgl. A14/9, S.7). Diese Erklärung überzeugt nicht, sondern ist als unbehelflicher Versuch nachträglicher Angleichung verschiedener Versionen zu werten. Auch der Beschwerdeführer hat den fluchtauslösenden Anlass wenig überzeugend dargestellt. So schilderte er im EVZ, schwarz gekleidete und maskierte Männer hätten ihm am 18. Mai 2008 gesagt, sie würden am nächsten Tag wiederkommen, sie hätten etwas mit ihm zu besprechen (vgl. A2/11, S. 7). Anlässlich der Anhörung vom 21. Juli 2008 vermochte sich der Beschwerdeführer - auf diesen Vorfall angesprochen - anfänglich nicht mehr zu erinnern (A13/11, S. 7) und es musste ihm seine frühere Aussage vorgelesen werden. Daraufhin führte er bloss aus, er wisse nicht, was für Leute zu ihm hätten kommen wollen. Die Männer hätten ihm im Vorfeld einzig gute Beziehungen zu den Serben vorgehalten, was er jedoch verneint habe (vgl. A13/11, S. 7 und 9). Ohne die schwierige Lage der ashkalischen Minderheit im Kosovo verkennen zu wollen, ist festzustellen, dass den Beschwerdeführenden die Art und Weise und das Ausmass der geltend gemachten Behelligungen nach dem Obgesagten nicht geglaubt werden können. Es kann weder mit überwiegender Wahrscheinlichkeit davon ausgegangen werden, dass sie dort wegen ihrer Ethnie Nachteile in asylrelevantem Ausmass erlitten haben, noch, dass im Zeitpunkt ihrer Ausreise eine Verfolgungsgefahr unmittelbar bevorstand. Hinsichtlich der geltend gemachten Beschlagnahmung ihres Autos erscheint dem Gericht plausibel, dass diese - wie von der Beschwerdeführerin anfänglich auch geschildert - im Zusammenhang mit dem Personenunfall des Beschwerdeführers im Juni 2006 durch die Behörden erfolgt sei könnte. Das Bundesverwaltungsgericht hegt demgegenüber - nicht zuletzt aufgrund der übereinstimmenden und von Realkennzeichen geprägten Schilderung - keine überwiegenden Zweifel an der Darstellung, dass die Kinder der Beschwerdeführenden auf dem Schulweg und in der Schule wegen ihrer Ethnie belästigt und behindert worden sind. Diese Form der Benachteiligung stellt jedoch nach Lehre und Praxis keinen genügend intensiven Nachteil dar, welcher die Flüchtlingseigenschaft der Beschwerdeführenden gemäss Art. 3 AsylG zu begründen vermöchte. Abschliessend ist festzustellen, dass die Vorbringen in der Rechtsmitteleingabe nicht geeignet sind, eine Änderung der vorinstanzlichen Verfügung zu bewirken. Der Einwand der Rechtsvertreterin, wonach die Beschwerdeführenden aufgrund der Fülle der in ihrem Leben erduldeten Nachteile nicht in der Lage zu übereinstimmenden und plausiblen Schilderungen gewesen seien, vermag das Gericht nicht zu überzeugen. Ins Gewicht fällt vorliegend nicht der von der Rechtsvertreterin ins Feld geführte Umstand, dass einzelne Sachverhalte allenfalls unerwähnt geblieben seien. Die Glaubhaftigkeit ist vorliegend vielmehr dadurch beeinträchtigt, dass die Beschwerdeführenden nicht in der Lage waren, Vorfälle und Zusammenhänge übereinstimmend und hinsichtlich des Ausreiseentschlusses nachvollziehbar darzustellen. Dass die Beschwerdeführenden aufgrund ihrer Herkunft und Schulbildung dazu nicht in der Lage gewesen wären, erachtet das Gericht ebenfalls nicht als plausibel, zumal der Beschwerdeführer immerhin eine (...)jährige Schulbildung auszuweisen vermag und in der Lage war, in der (...) ein Auskommen zu finden. Nachdem das Gericht die vom Beschwerdeführer angeblich erlittenen Nachteile durch Unbekannte nicht als glaubhaft erachtet, ist nicht weiter auf die Argumentation in der Beschwerde betreffend mittelbare staatliche Verfolgung einzugehen. Zusammenfassend ergibt sich, dass die Vorbringen der Beschwerdeführenden teils nicht glaubhaft, im Übrigen nicht asylrelevant sind. Die Beschwerdeführenden erlitten bis zum Zeitpunkt ihrer Ausreise aus dem Kosovo offensichtlich keine asylrechtlich relevante Verfolgung und müssen mit überwiegender Wahrscheinlichkeit eine solche auch in Zukunft nicht befürchten. Die eingereichten Dokumente und die Berichte von ai vermögen zu keiner anderen Einschätzung zu führen. Die Asylgesuche wurden vom Bundesamt daher zu Recht abgewiesen. Die Beschwerde ist folglich im Asylpunkt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 S. 733, ; EMARK 2001 Nr. 21).</w:t>
      </w:r>
    </w:p>
    <w:p>
      <w:r>
        <w:rPr>
          <w:b/>
        </w:rPr>
        <w:t>E. 7.1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Bei der Prüfung der drei genannten Kriterien ist auf die im Entscheidzeitpunkt bestehenden Verhältnisse abzustellen (EMARK 1997 Nr. 27 E. 4f S. 211).</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Kindswohls bei minderjährigen Gesuchstellern oder eine Kombination von Faktoren wie Alter, Beeinträchtigung der Gesundheit, fehlendes Beziehungsnetz, düstere Aussichten für das wirtschaftliche Fortkommen von Bedeutung sein -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7.3</w:t>
      </w:r>
    </w:p>
    <w:p>
      <w:r>
        <w:t>Gemäss BVGE 2007/10 ist der Vollzug der Wegweisung von albanischsprachigen Roma, Ashkali und "Ägyptern" in den Kosovo in der Regel zumutbar, sofern aufgrund einer Einzelfallabklärung (insbesondere durch Vor-Ort-Untersuchungen) feststeht, dass bestimmte Reintegrationskriterien wie berufliche Ausbildung, Gesundheitszustand, Alter, ausreichende wirtschaftliche Lebensgrundlage und Beziehungsnetz im Kosovo - erfüllt sind (vgl. Entscheidungen und Mitteilungen der Schweizerischen Asylrekuskommission [EMARK] 2007 Nr. 10, Entscheid E-1371/2011 vom 15. März 2011, mit weiteren Hinweisen). Ausnahmsweise kann auf eine Einzelfallabklärung, welche heute regelmässig durch die Schweizerische Botschaft getätigt wird, verzichtet werden, wenn der für den Wegweisungsvollzug relevante Sachverhalt als hinreichend erstellt zu erachten ist. Erweist sich der Sachverhalt bezüglich der konkreten Lebensumstände nicht als hinreichend erstellt, ist die vorinstanzliche Verfügung infolge Verletzung des Untersuchungsgrundsatzes zu kassieren.</w:t>
      </w:r>
    </w:p>
    <w:p>
      <w:r>
        <w:rPr>
          <w:b/>
        </w:rPr>
        <w:t>E. 7.4</w:t>
      </w:r>
    </w:p>
    <w:p>
      <w:r>
        <w:t>Den Akten ist nicht zu entnehmen, dass das BFM zur Klärung der Zumutbarkeitsfrage die grundsätzlich von Amtes wegen vorzunehmenden Abklärungen vor Ort durch die Schweizerische Botschaft getroffen hätte. Seine Erwägung, dass die Beschwerdeführenden an ihre wirtschaftlichen Verhältnisse vor der Ausreise (...) anknüpfen könnten, ist somit spekulativ. Ebenso verhält es sich mit der Erwägung, die Beschwerdeführenden könnten sich durch im Ausland lebende Verwandte unterstützen lassen. Weitere individuelle, für einen Wegweisungsvollzug sprechende Argumente finden sich im angefochtenen Entscheid keine. Bekanntermassen ist die gesellschaftliche Stellung der Ashkali von wirt­schaftlicher und sozialer Diskriminierung geprägt, viele fühlen sich als Bür­ger zweiter Klasse ohne Perspektive im Kosovo. Die Ashkali gehören ne­ben den Roma- und den Ägypter-Gemeinschaften zu den verletzlich­sten und marginalisiertesten Minderheiten im Kosovo. Insbesondere in den Bereichen Erziehung, Schulbildung, Fürsorge, Gesundheitsversor­gung, Wohnen und Beschäftigung sowie bei der Registrierung werden sie diskriminiert, und sie ziehen es vor, bei parallelen Strukturen - falls vorhan­den - Zuflucht zu suchen. Sie sind an ihrem Wohnort oft nicht regist­riert und verfügen oft über keine persönlichen Dokumente, was sie daran hindert, am öffentlichen Leben teilzunehmen, abzustimmen, administrative und soziale Leistungen zu beanspruchen sowie bei einer allfälligen Rückkehr in den Kosovo ihr Eigentum wieder in Besitz zu nehmen. Die Lebensbedingungen der kosovarischen Roma, Ashkali und Ägypter sind weit prekärer als jene der albanischen Mehrheitsbevölkerung und der Serben im Kosovo. Sie sind Opfer tiefgreifender Diskriminierungen insbesondere beim Zugang zu öffentlichen Dienstleistungen und zum Arbeitsmarkt. Sie sind von der höchsten Armuts-, Arbeitslosen-, Schulabbruch- und Sterblichkeitsrate im Kosovo betroffen. Der Ombudsperson-Institution zufolge liegt ihre Beschäftigungslosigkeit bei 98 Prozent. Auch werden die Angehörigen der Roma, Ashkali und Ägypter beim Zugang zu Unterkünften, insbesondere wenn sie aus dem Ausland zurückkehren und ihr Wohneigentum wieder beziehen wollen, diskriminiert (vgl. zum Beispiel Urteile D-8150/2008 vom 5. Mai 2010, E-23/2008 vom 6. Juli 2009, sowie BVGE 2009/51). Das BFM hat vorliegend - wie erwähnt - keine Einzelfallabklärung vor Ort vorgenommen, sondern aufgrund der Akten in knapper Weise erwogen, die Rückkehr sei für die (damals) fünfköpfige Familie zumutbar. Das Bundesverwaltungsgericht erachtet den Untersuchungsgrundsatz nach Art. 12 VwVG im Lichte obstehender Ausführungen aufgrund des Fehlens von Abklärungen vor Ort vorliegend als verletzt. Zwar ist zutreffend, dass die Beschwerdeführenden angegeben haben, sie hätten im Kosovo von (...) und (...) gelebt. Ob sie aber nach ihrer Rückkehr an diese Erwerbstätigkeit und die damaligen Verhältnisse anknüpfen können, ist unklar, zumal gemäss Aussagen des Beschwerdeführers die Eltern, welche früher an der selben Adresse gewohnt haben, das Land ebenfalls verlassen haben. Was mit (...) und dem (...) passiert ist, wurde vom BFM weder an den Befragungen noch im Nachhinein abgeklärt. Nicht selten wurde in der Vergangenheit das Eigentum der Minderheiten im Kosovo okkupiert und gelang es diesen oft nicht, ihre Eigentumsrechte nach der Rückkehr wieder durchzusetzen. Es liegt also keineswegs auf der Hand, dass sich die Aktenlage dem BFM derart präsentiert hätte, dass weitere Abklärungen überflüssig erschienen wären, zumal über das Vorhandensein eines sozialen oder weiteren familiären Beziehungsnetzes am Herkunftsort ebenfalls keine Angaben vorliegen. Dass heute nach bald vierjährigem Auslandaufenthalt der Beschwerdeführenden noch weniger darauf abgestützt werden kann, dass sich deren Rückkehrsituation identisch präsentiert, liegt auf der Hand.</w:t>
      </w:r>
    </w:p>
    <w:p>
      <w:r>
        <w:rPr>
          <w:b/>
        </w:rPr>
        <w:t>E. 7.5</w:t>
      </w:r>
    </w:p>
    <w:p>
      <w:r>
        <w:t>Es stellt sich die Frage, ob die festgestellte Verletzung des Untersuchungsgrundsatzes zu heilen ist oder zur Kassation der angefochtenen Verfügung führen muss. Gemäss Art. 61 Abs. 1 VwVG entscheidet die Beschwerdeinstanz grundsätzlich in der Sache selbst und weist diese nur ausnahmsweise mit verbindlichen Weisungen zurück. Praxisgemäss erfolgt eine Rückweisung an die Vorinstanz dann, wenn weitere Tatsachen festgestellt werden müssen und ein umfassendes Beweisverfahren durchzuführen ist. Eine sachgerechte Lösung im Sinne einer Heilung oder Kassation kann sich auch daran orientieren, ob die Verletzung auf einem Versehen beruht oder das Resultat einer gehäuften unsorgfältigen Verfahrensführung ist. Ob indessen die Missachtung von Verfahrensvorschriften durch die Vorinstanz auch Einfluss auf das Ergebnis hatte, kann bei einer Verletzung des Anspruchs auf rechtliches Gehör angesichts seiner formellen Natur von vornherein keine Rolle spielen (vgl. das Urteil des Bundesverwaltungsgerichts E-1371/2011 vom 15. März 2011, mit weiteren Hinweisen). Vorliegend stehen - wie vorgängig ausgeführt - umfassende Abklärungen im Kosovo an. Im Rahmen der Abklärungen vor Ort wird auch der Frage des weiteren Schulbesuchs der drei schulpflichtigen Kinder, welche zwischenzeitlich (...), (...) und (...) Jahre alt sind, in der Primarschule und Oberstufe nachzugehen sein. Wie bereits ausgeführt, werden die Angehörigen der Ashkali im Kosovo nämlich auch im Bereiche der Schulbildung diskriminiert, so dass vorliegend - angesichts der unabgeklärt gebliebenen Rückkehrverhältnisse - nicht als gesichert erachtet werden kann, ob es den drei älteren Kindern weiterhin möglich und - infolge der glaubhaft geschilderten Behelligungen auf dem Schulweg und in der Schule - auch zumutbar wäre, im Kosovo die Schule zu besuchen.Das BFM wird sich im Rahmen der Zumutbarkeitsprüfung auch mit Art. 3 Abs. 1 und Art. 28 Abs. 1 des Übereinkommens vom 20. November 1989 über die Rechte des Kindes (KRK; SR 0.107) auseinanderzusetzen haben, gemäss welchen das Kindswohl bei behördlichem Handeln einen Gesichtspunkt von gewichtiger Bedeutung darstellt, und die Vertragsstaaten generell das Recht des Kindes auf Bildung - vorab in Form des unentgeltlichen Besuches der Grundschule - anerkennen. Unter dem Aspekt des Kindswohls werden sämtliche Umstände einzubeziehen und zu würdigen sein, die im Hinblick auf eine Wegweisung wesentlich erscheinen, so beispielsweise das Alter der Kinder, deren Reife, Abhängigkeiten, Art ihrer Beziehungen, die Eigenschaften ihrer Bezugspersonen, Stand und Prognose bezüglich ihrer Entwicklung/ Ausbildung oder der Grad der erfolgten Integration. Dabei wird angesichts des mehrjährigen Aufenthalts insbesondere zu beachten sein, dass eine Verwurzelung in der Schweiz eine reziproke Wirkung auf die Frage der Zumutbarkeit des Wegweisungsvollzugs haben kann (vgl. BVGE 2009/28 E. 9.3.2, BVGE 2009/51 E. 5.6 und 5.8.2, je mit weiteren Hinweisen). Angesichts der Fülle des Abklärungsbedarfs und des Umstandes, dass das BFM bisher keine Gelegenheit hatte, sich zur oben aufgeworfenen Frage der Kindswohlproblematik zu äussern, ist eine Rückweisung der Sache zwecks umfassender Würdigung der Rückkehrsituation einer Heilung vorzuziehen. Der vorinstanzliche Entscheid ist demnach bezüglich der Ziffern 4 und 5 des Dispositivs der Verfügung vom 27. Oktober 2008 aufzuheben und die Sache ist zur vollständigen Abklärung des Sachverhalts im Sinne der Erwägungen zurückzuweisen.</w:t>
      </w:r>
    </w:p>
    <w:p>
      <w:r>
        <w:rPr>
          <w:b/>
        </w:rPr>
        <w:t>E. 8</w:t>
      </w:r>
    </w:p>
    <w:p>
      <w:r>
        <w:t>Aufgrund der Gutheissung des Gesuches um unentgeltliche Prozessführung mit Verfügung vom 5. Dezember 2008 und der seither unveränderten finanziellen Lage der Beschwerdeführenden sind vorliegend keine Kosten zu erheben (Art. 65 Abs. 1VwVG).</w:t>
      </w:r>
    </w:p>
    <w:p>
      <w:r>
        <w:rPr>
          <w:b/>
        </w:rPr>
        <w:t>E. 9</w:t>
      </w:r>
    </w:p>
    <w:p>
      <w:r>
        <w:t>Nachdem die Beschwerdeführenden mit dem Begehren um Aufhebung des vorinstanzlichen Entscheides hinsichtlich der Anordnung des Wegweisungsvollzuges durchgedrungen sind, ist ihnen für die ihnen erwachsenen notwendigen und verhältnismässig hohen Kosten praxisgemäss eine um die Hälfte reduzierte Parteientschädigung zuzusprechen (vgl. Art. 64 Abs. 1 VwVG i.V.m. Art. 37 VGG, Art. 7 ff. des Reglements vom 21. Februar 2008 über die Kosten und Entschädigungen vor dem Bundesverwaltungsgericht [VGKE, SR 173.320.2]). Die Rechtsvertreterin hat mit Eingabe vom 17. August 2011 eine Kostennote zu den Akten gereicht. Darin macht sie für das Beschwerdeverfahren einen Aufwand von achteinhalb Stunden und einen Gesamtbetrag von Fr. 915.- (inklusive Auslagen) geltend. Die Kostennote erscheint sowohl hinsichtlich des zeitlichen Aufwandes als auch des verrechneten Stundenansatzes als angemessen. Gestützt auf die in Betracht zu ziehenden Bemessungsfaktoren (vgl. Art. 9-13 VGKE) wird die um die Hälfte gekürzte, vom BFM zu entrichtende Parteientschädigung somit auf Fr. 457.50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