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E-761/2010 vom 18. Februar 2010</w:t>
      </w:r>
    </w:p>
    <w:p>
      <w:r>
        <w:t>Bundesverwaltungsgericht, 2010-02-18, DE</w:t>
      </w:r>
    </w:p>
    <w:p>
      <w:r>
        <w:rPr>
          <w:b/>
        </w:rPr>
        <w:t xml:space="preserve">Quelle: </w:t>
      </w:r>
      <w:r>
        <w:t>https://mcp.opencaselaw.ch/entscheid/bvger_E-761_2010</w:t>
      </w:r>
    </w:p>
    <w:p>
      <w:r>
        <w:t>FR: TAF E-761/2010 du 18 février 2010</w:t>
      </w:r>
    </w:p>
    <w:p>
      <w:r>
        <w:t>IT: TAF E-761/2010 del 18 febbraio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nach Art. 65 Abs. 1 VwVG wird abgewiesen.</w:t>
      </w:r>
    </w:p>
    <w:p>
      <w:r>
        <w:rPr>
          <w:b/>
        </w:rPr>
        <w:t>E. 3</w:t>
      </w:r>
    </w:p>
    <w:p>
      <w:r>
        <w:t>Den Beschwerdeführerinnen werden keine Verfahrenskosten auferlegt.</w:t>
      </w:r>
    </w:p>
    <w:p>
      <w:r>
        <w:rPr>
          <w:b/>
        </w:rPr>
        <w:t>E. 4</w:t>
      </w:r>
    </w:p>
    <w:p>
      <w:r>
        <w:t>Dieses Urteil geht an den Rechtsvertreter der Beschwerdeführerinnen, das BFM und die kantonale Behörde. Der Einzelrichter: Der Gerichtsschreiber: Kurt Gysi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