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E-7619/2016 vom 17. Januar 2017</w:t>
      </w:r>
    </w:p>
    <w:p>
      <w:r>
        <w:t>Bundesverwaltungsgericht, 2017-01-17, DE</w:t>
      </w:r>
    </w:p>
    <w:p>
      <w:r>
        <w:rPr>
          <w:b/>
        </w:rPr>
        <w:t xml:space="preserve">Quelle: </w:t>
      </w:r>
      <w:r>
        <w:t>https://mcp.opencaselaw.ch/entscheid/bvger_E-7619_2016</w:t>
      </w:r>
    </w:p>
    <w:p>
      <w:r>
        <w:t>FR: TAF E-7619/2016 du 17 janvier 2017</w:t>
      </w:r>
    </w:p>
    <w:p>
      <w:r>
        <w:t>IT: TAF E-7619/2016 del 17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gemäss Art. 7 AsylG nicht standhalten. Es sei ihr nicht gelungen, sowohl die geltend gemachten Verfolgungsvorbringen wie auch die geltend gemachte Religionszugehörigkeit glaubhaft zu machen. Ihre Vorbringen würden einerseits Widersprüche und Ungereimtheiten aufweisen, andererseits im Hinblick auf die logische Nachvollziehbarkeit nicht überzeugen. Zudem vermittle ihr Aussageverhalten nicht den Eindruck, dass sie ihren angeblichen Glauben tatsächlich gelebt habe.</w:t>
      </w:r>
    </w:p>
    <w:p>
      <w:r>
        <w:rPr>
          <w:b/>
        </w:rPr>
        <w:t>E. 4.2</w:t>
      </w:r>
    </w:p>
    <w:p>
      <w:r>
        <w:t>Die Beschwerdeführerin wendet dagegen ein, die von der Vorinstanz genannten Widersprüche und Ungereimtheiten würden tatsächlich nicht existieren. Die Vorinstanz offenbare eine Tendenz zu willkürlichen Unterstellungen. Die Verfolgungsmassnahmen seitens der Behörden würden weiterhin bestehen. Ihr sei es lediglich geglückt, einen kleinen Durchschlupf durch das Netz der Überwachungen zu finden. Ihre Angaben zu ihrer Glaubenslehre seien kohärent, würden die zentralen Grundzüge enthalten und keinen Zweifel an ihrer Mitgliedschaft aufkommen lassen. Darüber hinaus sei darauf hinzuweisen, dass die Übersetzungsleistung der dolmetschenden Person unzulänglich gewesen sei, was sich auch auf ihre Aussagen ausgewirkt habe. Ihre Vorbringen seien insgesamt glaubhaft und würden auch den Anforderungen an die Flüchtlingseigenschaft standhalten.</w:t>
      </w:r>
    </w:p>
    <w:p>
      <w:r>
        <w:rPr>
          <w:b/>
        </w:rPr>
        <w:t>E. 4.3</w:t>
      </w:r>
    </w:p>
    <w:p>
      <w:r>
        <w:t>Die vorinstanzlichen Schlussfolgerungen sind weder in tatsächlicher noch in rechtlicher Hinsicht zu beanstanden. Die Vorinstanz führt in der angefochtenen Verfügung eingehend aus, warum die Vorbringen der Beschwerdeführerin nicht glaubhaft sind.</w:t>
      </w:r>
    </w:p>
    <w:p>
      <w:r>
        <w:rPr>
          <w:b/>
        </w:rPr>
        <w:t>E. 4.3.1</w:t>
      </w:r>
    </w:p>
    <w:p>
      <w:r>
        <w:t>Die Rüge der Beschwerdeführerin, die Übersetzung ihrer Aussagen sei mangelhaft gewesen, geht fehl. Anlässlich der BzP gibt die Beschwerdeführerin zwei Mal zu Protokoll, dass sie die Dolmetscherin gut verstehe und bestätigt schliesslich, dass die gemachten Aussagen der Wahrheit entsprechen und sie ihr in eine verständliche Sprache rückübersetzt worden seien (SEM-Akten, A4/12 S. 2 und 9). In der Anhörung gibt sie zuerst an, sie verstehe den Dolmetscher ungefähr. Sie wird sodann aufgefordert, nachzufragen, wenn sie etwas nicht verstehe und wird nochmals gefragt, ob sie den Dolmetscher verstehe, was sie bejaht (SEM-Akten, A14/23 F1 ff.). Schliesslich bestätigt sie im Anschluss an die Befragung, dass ihr das Protokoll Satz für Satz vorgelesen und in eine verständliche Sprache übersetzt worden sei, sowie dass das Protokoll vollständig sei und ihrer freien Äusserung entspreche. Auch aus dem Unterschriftenblatt der Hilfswerkvertretung kann nicht entnommen werden, dass es Probleme bei der Übersetzung gegeben habe (SEM-Akten, A14/23 S. 22 f.). Sie muss sich somit auf den gemachten Aussagen behaften lassen.</w:t>
      </w:r>
    </w:p>
    <w:p>
      <w:r>
        <w:rPr>
          <w:b/>
        </w:rPr>
        <w:t>E. 4.3.2</w:t>
      </w:r>
    </w:p>
    <w:p>
      <w:r>
        <w:t>Die Vorinstanz stellt sodann zutreffend fest, dass sich die Beschwerdeführerin in mehreren Punkten widerspreche. So macht sie unterschiedliche Angaben zur Häufigkeit der Polizeikontrollen. In der BzP führt sie aus, ab November 2013 bis Oktober 2014 sei die Polizei zirka jeden Monat zu ihr gekommen und habe Kontrollen durchgeführt. Im März 2015 sei sie dann wiederum von der Polizei aufgesucht worden (SEM-Akten, A4/12 S. 7). In der Anhörung gibt sie hingegen zu Protokoll, die Polizei sei zuerst alle zehn Tage vorbeigekommen und ab Anfang Oktober 2014 alle drei, fünf oder sieben Tage (SEM-Akten, A14/23 F67). Diese Angaben weichen deutlich voneinander ab. Auch zum Ereignis im März 2015 äussert sie sich in beiden Befragungen widersprüchlich. In der BzP gibt sie an, an diesem Tag seien die Polizisten zu ihr nach Hause gekommen. Sie sei bedroht wurden und man habe ihr gedroht, ihr die Altersrente zu streichen, wenn sie nicht vom Glauben loslasse (SEM-Akten, A4/12 S. 7). Anlässlich der Anhörung spricht die Beschwerdeführerin davon, dass sie aufgefordert worden sei, auf den Polizeiposten mitzukommen, um eine Garantieerklärung zu unterschreiben. Dazu sei es jedoch nicht gekommen. Sie habe eine Überdosis Medikamente genommen und sei deshalb in den Spital eingeliefert worden (SEM-Akten, A14/23 F135 ff.). Bezüglich der Mitnahme auf den Polizeiposten im November 2013 findet sich entgegen der Ausführungen in der angefochtenen Verfügung kein Widerspruch. Die Beschwerdeführerin hat den vermeintlichen Widerspruch anlässlich der Rückübersetzung korrigiert, was die Vorinstanz offensichtlich übersehen hat (vgl. SEM-Akten, A14/23 F63 und S. 22).</w:t>
      </w:r>
    </w:p>
    <w:p>
      <w:r>
        <w:rPr>
          <w:b/>
        </w:rPr>
        <w:t>E. 4.3.3</w:t>
      </w:r>
    </w:p>
    <w:p>
      <w:r>
        <w:t>Stark gegen die vorgebrachte Verfolgung spricht die Tatsache, dass die Beschwerdeführerin China legal mit ihrem Reisepass verlassen hat. Gemäss eigener Angaben hat sie ihren Reisepass am 12. Dezember 2014 ausstellen lassen. Gemäss ihren Asylvorbringen stand sie zu dieser Zeit unter starker Beobachtung durch die chinesischen Behörden. China verlassen hat sie am 18. Mai 2015, also nur kurz nach dem Besuch der Polizei, bei dem ihr angeblich so stark gedroht worden war, dass sie keinen anderen Weg mehr gesehen habe, als eine Überdosis Medikamente einzunehmen. Im chinesischen Kontext muss als nicht realistisch erachtet werden, dass sie unter den geschilderten Umständen ohne Probleme einen Pass beantragen und das Land legal verlassen konnte. Die in der Beschwerdeschrift vorgebrachte Geschichte, dass aufgrund eines Telefondiebstahls im Passbüro Aufregung geherrscht habe und ihr Antrag aus diesem Grund nicht mit der nötigen Sorgfalt geprüft worden sei, muss als vorgeschoben und nicht glaubhaft qualifiziert werden. Gleiches gilt für das Vorbringen, dass der Zugriff auf die Informationen im Zusammenhang mit ihrer behördlichen Überwachung nicht mit ihrem Pass, sondern mit einem anderen Identitätsdokument verknüpft gewesen sein könnte.</w:t>
      </w:r>
    </w:p>
    <w:p>
      <w:r>
        <w:rPr>
          <w:b/>
        </w:rPr>
        <w:t>E. 4.3.4</w:t>
      </w:r>
    </w:p>
    <w:p>
      <w:r>
        <w:t>Bezüglich der vorgebrachten Zugehörigkeit zu ihrer Glaubensgemeinschaft ist auf die zutreffenden Ausführungen der Vorinstanz in der angefochtenen Verfügung zu verweisen. Aufgrund ihrer oberflächlichen Aussagen zu ihrem Glauben muss stark bezweifelt werden, dass sie tatsächlich praktizierende Gläubige der vorgebrachten Gemeinschaft ist. Aus den eingereichten Bestätigungsschreiben von Privatpersonen und dem Schreiben der Kirche, welches im Übrigen nicht einmal einen Namen einer verantwortlichen Person enthält, kann die Beschwerdeführerin nichts zu ihren Gunsten ableiten. Die angesprochenen Schreiben müssen als Gefälligkeitsschreiben qualifiziert werden.</w:t>
      </w:r>
    </w:p>
    <w:p>
      <w:r>
        <w:rPr>
          <w:b/>
        </w:rPr>
        <w:t>E. 4.4</w:t>
      </w:r>
    </w:p>
    <w:p>
      <w:r>
        <w:t>Insgesamt hat die Beschwerdeführerin somit nichts vorgebracht, das geeignet wäre, die Flüchtlingseigenschaft nachzuweisen oder glaubhaft zu machen. Die Vorinstanz hat demnach das Asylgesuch zu Recht abgelehnt.</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in die Volksrepublik China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China herrscht weder Krieg noch eine Situation allgemeiner Gewalt. Auch sprechen keine individuellen Gründe gegen eine Rückkehr der Beschwerdeführerin nach China. Die gesunde Beschwerdeführerin verfügt über Berufserfahrung in verschiedenen Branchen. Sie hat ihr ganzes bisheriges Leben in China verbracht und verfügt dort über ein soziales Netz (Familie, Freunde). In Übereinstimmung mit den vorinstanzlichen Erwägungen ist vorliegend von der Zumutbarkeit des Wegweisungsvollzugs auszugehen.</w:t>
      </w:r>
    </w:p>
    <w:p>
      <w:r>
        <w:rPr>
          <w:b/>
        </w:rPr>
        <w:t>E. 6.4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 Der Antrag auf vorsorgliche Massnahmen bezüglich Kontaktaufnahme mit den Heimatbehörden und Datenweitergabe ist mit dem vorliegenden Urteil gegenstandslos geworden.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