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E-7613/2015 vom 14. Juni 2017</w:t>
      </w:r>
    </w:p>
    <w:p>
      <w:r>
        <w:t>Bundesverwaltungsgericht, 2017-06-14, FR</w:t>
      </w:r>
    </w:p>
    <w:p>
      <w:r>
        <w:rPr>
          <w:b/>
        </w:rPr>
        <w:t xml:space="preserve">Quelle: </w:t>
      </w:r>
      <w:r>
        <w:t>https://mcp.opencaselaw.ch/entscheid/bvger_E-7613_2015</w:t>
      </w:r>
    </w:p>
    <w:p>
      <w:r>
        <w:t>FR: TAF E-7613/2015 du 14 juin 2017</w:t>
      </w:r>
    </w:p>
    <w:p>
      <w:r>
        <w:t>IT: TAF E-7613/2015 del 14 giugno 2017</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recourante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et consid. 5.4 [non publié] ; 2014/26 consid. 5.6). 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 Kneubühler, Prozessieren vor dem Bundesverwaltungsgericht, 2ème éd., 2013, no 1.55, p. 25; Kölz/Häner/Bertschi,Verwaltungsverfahren und Verwaltungsrechtspflege des Bundes, 3ème éd., 2013, no 1136, p. 398; voir aussi Clémence Grisel, L'obligation de collaborer des parties en procédure administrative, 2008, p. 57, 76 et 82 s.).</w:t>
      </w:r>
    </w:p>
    <w:p>
      <w:r>
        <w:rPr>
          <w:b/>
        </w:rPr>
        <w:t>E. 2.1</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l'espèce, le dossier n'est pas suffisamment mûr pour permettre au Tribunal de se prononcer sur la conformité du transfert de la recourante vers la Hongrie avec les obligations de la Suisse relevant du droit international public.</w:t>
      </w:r>
    </w:p>
    <w:p>
      <w:r>
        <w:rPr>
          <w:b/>
        </w:rPr>
        <w:t>E. 3.2</w:t>
      </w:r>
    </w:p>
    <w:p>
      <w:r>
        <w:t>En effet,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l'existence d'un risque réel pour les requérants d'être soumis à des traitements contraires à l'art. 3 CEDH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3.3</w:t>
      </w:r>
    </w:p>
    <w:p>
      <w:r>
        <w:t>Pour les mêmes motifs que ceux exposés dans l'arrêt mentionné ci-avant, le Tribunal n'est pas en l'état de statuer sur les griefs du recours du 25 novembre 2015 et de confirmer ou d'infirmer la compétence de la Hongrie pour examiner la demande d'asile du 24 août 2015 de la recourante, question dont l'issue reste ouverte. La décision attaquée doit être annulée pour constatation incomplète et inexacte de l'état de fait pertinent (cf. art. 106 al. 1 let. b LAsi) et la cause renvoyée au SEM pour complément d'instruction, dans le sens de celui imposé par l'arrêt de référence D-7853/2015 précité, et nouvelle décision.</w:t>
      </w:r>
    </w:p>
    <w:p>
      <w:r>
        <w:rPr>
          <w:b/>
        </w:rPr>
        <w:t>E. 3.4</w:t>
      </w:r>
    </w:p>
    <w:p>
      <w:r>
        <w:t>S'avérant manifestement fondé, le recours est admis dans une procédure à juge unique, avec l'approbation d'un second juge (cf. art. 111 let. e LAsi), le présent arrêt n'étant motivé que sommairement (cf. art. 111a al. 2 LAsi).</w:t>
      </w:r>
    </w:p>
    <w:p>
      <w:r>
        <w:rPr>
          <w:b/>
        </w:rPr>
        <w:t>E. 4</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ainsi sans objet. Il y a lieu d'allouer des dépens pour les frais nécessaires causés par le litige (cf. art. 64 al. 1 PA et art. 7 al. 1 du règlement du 21 février 2008 concernant les frais, dépens et indemnités fixés par le Tribunal administratif fédéral [FITAF, RS 173.320.2]). Ils sont fixés à 800 francs, compte tenu du décompte de prestations du 25 novembre 2015 et des démarches ultérieures nécessaires de la mandataire,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