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E-7608/2014 vom 9. Juni 2015</w:t>
      </w:r>
    </w:p>
    <w:p>
      <w:r>
        <w:t>Bundesverwaltungsgericht, 2015-06-09, DE</w:t>
      </w:r>
    </w:p>
    <w:p>
      <w:r>
        <w:rPr>
          <w:b/>
        </w:rPr>
        <w:t xml:space="preserve">Quelle: </w:t>
      </w:r>
      <w:r>
        <w:t>https://mcp.opencaselaw.ch/entscheid/bvger_E-7608_2014</w:t>
      </w:r>
    </w:p>
    <w:p>
      <w:r>
        <w:t>FR: TAF E-7608/2014 du 9 juin 2015</w:t>
      </w:r>
    </w:p>
    <w:p>
      <w:r>
        <w:t>IT: TAF E-7608/2014 del 9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des Beschwerdeführers ist auf Englisch abgefasst. Auf die Ansetzung einer Frist zur Beschwerdeverbesserung ist zu verzichten, da der in Englisch verfassten Beschwerdeeingabe genügend klare Rechtsbegehren und eine verständliche Begründung zu entnehmen sind und somit ohne weiteres darüber befunden werden kann.</w:t>
      </w:r>
    </w:p>
    <w:p>
      <w:r>
        <w:rPr>
          <w:b/>
        </w:rPr>
        <w:t>E. 1.3</w:t>
      </w:r>
    </w:p>
    <w:p>
      <w:r>
        <w:t>Auf die im Weiteren fristgerecht eingereichte Beschwerde ist somit einzutreten. Gestützt auf Art. 33a Abs. 2 VwVG i.V.m. Art. 6 AsylG ergeht der vorliegende Entscheid in deutscher Sprache.</w:t>
      </w:r>
    </w:p>
    <w:p>
      <w:r>
        <w:rPr>
          <w:b/>
        </w:rPr>
        <w:t>E. 1.4</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1.5</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w:t>
      </w:r>
    </w:p>
    <w:p>
      <w:r>
        <w:rPr>
          <w:b/>
        </w:rPr>
        <w:t>E. 3.1</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w:t>
      </w:r>
    </w:p>
    <w:p>
      <w:r>
        <w:rPr>
          <w:b/>
        </w:rPr>
        <w:t>E. 3.2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w:t>
      </w:r>
    </w:p>
    <w:p>
      <w:r>
        <w:t>Die Vorinstanz stellte in der angefochtenen Verfügung im Wesentlichen fest, dass gestützt auf die Aktenlage die Gefährdungssituation abschliessend habe beurteilt werden können. Sie verneinte eine Verfolgung oder akute Gefährdung des Beschwerdeführers. Was der Beschwerdeführer dagegen vorbringt, ist nicht geeignet, die vor-instanzlichen Erwägungen umzustossen. Im Wesentlichen bestehen seine Ausführungen unter Hinweis auf die weiterhin regelmässigen Besuche und Verhöre durch Vertreter des CID lediglich aus der Behauptung, er sei deswegen nicht in der Lage, mit seiner Familie (von CID und Armee) unbehelligt in Frieden und Sicherheit zu leben. Diese Argumente sind Wiederholungen der bereits aus dem vorinstanzlichen Verfahren bekannten Vorbringen, ohne sich substanziell mit der Argumentation in der angefochtenen Verfügung auseinanderzusetzen. Da der Beschwerdeführer seinen Angaben zufolge jahrelang in verantwortlicher Stellung wichtige Geschäfte (...) ausgeübt hat und zudem in seinem nahen Umfeld Personen kannte, die wichtige Rollen im Bürgerkrieg spielten (beispielsweise C._______; ein Schwager, der dem Geheimdienst der LTTE angehört habe; von den LTTE zwangsrekrutierte Verwandte; diverse Besteller und Abnehmer von Waren), liegt es nahe, dass er in den Fokus sri-lankischer Ermittlungsbehörden gelangte und diese ihn zu Erkenntnissen wiederholt befragten. Dies ist grundsätzlich legitim und angesichts der jahrzehntelangen heftigen Auseinandersetzungen im Bürgerkrieg verständlich. Soweit der Beschwerdeführer angibt, in Sri Lanka deshalb weiterhin unangenehmen Massnahmen seitens der Sicherheitskräfte ausgesetzt zu sein, ist ihm entgegenzuhalten, dass es ihm im heutigen Umfeld durchaus zuzumuten ist, sich gegen rechtswidrige Handlungen seitens der Befrager auf dem Rechtsweg zur Wehr zu setzen. Die von ihm beschriebenen Massnahmen der Ermittlungsbehörden (CID) und der Armee sowie die damit verbundenen Beeinträchtigungen stellen aber per se keine ernsthaften Nachteile im Sinne des Asylgesetzes dar. Diese Massnahmen scheinen vielmehr darauf gerichtet, nach jahrzehntelangen heftigen Kriegswirren ein Wiedererstarken oder Neuaufleben der LTTE gezielt zu verhindern, frühere Beziehungsnetze der LTTE auszuloten und ehemalige Führungspersönlichkeiten zu entlarven. Im Übrigen geht aus den bisherigen Angaben des Beschwerdeführers nicht hervor, dass die Behörden ihm und seinen Familienangehörigen die Bewegungsfreiheit oder gewisse Rechte eingeschränkt hätten, weshalb er allenfalls lokal oder regional bedingten Problemen durch eine Wohnsitzverlegung innerstaatlich ausweichen könnte. Seit Eingang der Beschwerdeschrift sind allerdings keine weiteren Erkenntnisse im Zusammenhang mit Massnahmen oder Übergriffen des CID (oder der Armee) aktenkundig geworden. Im Übrigen hat die Vorinstanz zu Recht anerkannt, dass die Situation nach dem Ende des Bürgerkriegs (Mai 2009) für jeden Staatsangehörigen nicht einfach ist, was aber nicht gegen die Zumutbarkeit eines weiteren Verbleibs des Beschwerdeführers, der über Vermögen, Arbeit und Einkommen sowie einen grösseren tragfähigen Verwandten- und Bekanntenkreis verfügt, in Sri Lanka spricht. Eine schwierige Lebenssituation und entsprechende humanitäre Überlegungen stellen keinen Grund für eine Bewilligung der Einreise dar. Er vermag damit nicht nachvollziehbar aufzuzeigen, inwiefern seine Furcht vor schweren Nachteilen bei einem weiteren Verbleib in Sri Lanka konkret begründet wäre. Schliesslich ist festzustellen, dass keine Anknüpfungspunkte zur Schweiz bestehen. Folglich ist ihm und seiner Familie der weitere Aufenthalt in Sri Lanka zumutbar. Demzufolge ist mit der Vorinstanz einig zu gehen, dass er den Schutz der Schweiz nicht benötigt. Die Vorinstanz hat ihm zu Recht die Einreise in die Schweiz verweigert und sein Asylgesuch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