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E-7601/2010 vom 14. Juni 2011</w:t>
      </w:r>
    </w:p>
    <w:p>
      <w:r>
        <w:t>Bundesverwaltungsgericht, 2011-06-14, DE</w:t>
      </w:r>
    </w:p>
    <w:p>
      <w:r>
        <w:rPr>
          <w:b/>
        </w:rPr>
        <w:t xml:space="preserve">Quelle: </w:t>
      </w:r>
      <w:r>
        <w:t>https://mcp.opencaselaw.ch/entscheid/bvger_E-7601_2010</w:t>
      </w:r>
    </w:p>
    <w:p>
      <w:r>
        <w:t>FR: TAF E-7601/2010 du 14 juin 2011</w:t>
      </w:r>
    </w:p>
    <w:p>
      <w:r>
        <w:t>IT: TAF E-7601/2010 del 14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wurde aus prozessökonomischen Gründen verzichtet und - im Sinne einer begründeten Ausnahme - vom Instruktionsrichter eine amtliche Übersetzung der Beschwerdeschrift in eine Amtssprache angeordnet (Art. 33a Abs. 3 und 4 VwVG).</w:t>
      </w:r>
    </w:p>
    <w:p>
      <w:r>
        <w:rPr>
          <w:b/>
        </w:rPr>
        <w:t>E. 1.4</w:t>
      </w:r>
    </w:p>
    <w:p>
      <w:r>
        <w:t>Abgesehen von diesem sprachlichen Mangel haben die Beschwerdeführenden die Beschwerde form- und auch fristgerecht eingereicht. Sie sind durch die angefochtene Verfügung besonders berührt, haben ein schutzwürdiges Interesse an deren Aufhebung beziehungsweise Änderung und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kapazitätsbedingten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a.a.O. E. 5.7). Schliesslich ist das Bundesamt in jedem Fall gehalten, das Absehen von einer Befragung zu begründen.</w:t>
      </w:r>
    </w:p>
    <w:p>
      <w:r>
        <w:rPr>
          <w:b/>
        </w:rPr>
        <w:t>E. 4.2</w:t>
      </w:r>
    </w:p>
    <w:p>
      <w:r>
        <w:t>Die Beschwerdeführenden wurden im vorliegenden Verfahren nicht befragt; die Vorinstanz hat diesen Verzicht in ihrer Zwischenverfügung vom 31. Mai 2010 begründet, mit welcher den Beschwerdeführenden das rechtliche Gehör zu einem allfälligen negativen Entscheid - entgegen ihrer Auffassung in korrekter Weise - gewährt wurde. Dieses nahmen sie mit Stellungnahme vom 21. Juni 2010 wahr. Dabei hielten sie sinngemäss zusammengefasst an ihren Gesuchsvorbringen fest und verwiesen auf weitere, gleichzeitig eingereichte Dokumente. In der Beschwerde wird darauf hingewiesen, dass Asylsuchende persönlich anzuhören seien; dies ist nach dem oben Ausgeführten zwar grundsätzlich richtig, war jedoch vorliegend angesichts der klaren Aktenlage nicht zwingend erforderlich. Soweit die Beschwerdeführenden die "persönlichen Erwartungshaltungen" der ihr Asylgesuch behandelnden Mitarbeitenden der Botschaft thematisieren, mutmassen, ihr Gesuch sei nicht mit dem gebotenen Respekt und der nötigen Aufmerksamkeit bearbeitet worden, und geltend machen der Hinweis auf die besseren Assimilationsmöglichkeiten in den Nachbarländern Kolumbiens sei abwertend, beleidigend und insgesamt diskriminierend, teilt das Bundesverwaltungsgericht ihre Auffassung nach Durchsicht der Akten nicht. Den Akten sind keine Hinweise auf die implizit geltend gemachte Voreingenommenheit oder eine unsorgfältige Arbeitsweise zu entnehmen.</w:t>
      </w:r>
    </w:p>
    <w:p>
      <w:r>
        <w:rPr>
          <w:b/>
        </w:rPr>
        <w:t>E. 4.3</w:t>
      </w:r>
    </w:p>
    <w:p>
      <w:r>
        <w:t>Die (vordergründig) verfahrenstechnischen Rügen der Beschwerdeführenden erweisen sich damit als unbegründet.</w:t>
      </w:r>
    </w:p>
    <w:p>
      <w:r>
        <w:rPr>
          <w:b/>
        </w:rPr>
        <w:t>E. 5</w:t>
      </w:r>
    </w:p>
    <w:p>
      <w:r>
        <w:t>Im Folgenden ist zu prüfen, ob das Bundesamt zu Recht das Asylgesuch abgewiesen und den Beschwerdeführenden die Einreise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mithin die Prüfung der Fragen, ob eine Gefährdung im Sinn von Art. 3 AsylG glaubhaft gemacht wird und ob der Verbleib am Aufenthaltsort für die Dauer der Sachverhaltsabklärung zugemutet werden kann.</w:t>
      </w:r>
    </w:p>
    <w:p>
      <w:r>
        <w:rPr>
          <w:b/>
        </w:rPr>
        <w:t>E. 5.3</w:t>
      </w:r>
    </w:p>
    <w:p>
      <w:r>
        <w:t>Die Vorinstanz hat gemäss Akten zu Recht darauf hingewiesen, dass sich die Beschwerdeführenden den Bedrohungen durch die FARC in ihrer Heimatregion offenbar durch Wegzug nach J._______, wo sie sich gemäss vorliegenden Akten seither aufhalten, im Ergebnis entziehen konnten. Etwas Gegenteiliges wird auch in der Beschwerde nicht geltend gemacht.</w:t>
      </w:r>
    </w:p>
    <w:p>
      <w:r>
        <w:rPr>
          <w:b/>
        </w:rPr>
        <w:t>E. 5.4</w:t>
      </w:r>
    </w:p>
    <w:p>
      <w:r>
        <w:t>Abgesehen davon hat das BFM auch zutreffend festgestellt, dass es den Beschwerdeführenden zuzumuten wäre, nötigenfalls in einem anderen Land um Asylgewährung nachzusuchen (vgl. Art. 52 [Abs. 2] AsylG). So sind beispielsweise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ersuchen und dort zu einem beträchtlichen Teil auch als Flüchtlinge anerkannt werden. Insgesamt ergeben sich keine Anhaltspunkte, die darauf schliessen liessen, es sei den Beschwerdeführenden praktisch unmöglich oder objektiv unzumutbar, sich in einen anderen Staat, insbesondere in einen der Nachbarstaaten Kolumbiens, zu begeben (vgl. EMARK 2004 Nr. 20 sowie 1997 Nr. 15 E. 2f S. 132; vgl. etwa auch die Urteile des Bundesverwaltungsgerichts D-5372/2010 vom 6. August 2010 und E-4009/2010 vom 15. Juni 2010). Dies umso weniger,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5.5</w:t>
      </w:r>
    </w:p>
    <w:p>
      <w:r>
        <w:t>Vor diesem Hintergrund erweist sich eine Schutzgewährung seitens der Schweizer Behörden als nicht erforderlich. Hinzu kommt, dass die Beschwerdeführenden weder in ihrem Gesuch noch in der Beschwerde irgendeine persönliche Beziehung zur Schweiz geltend gemacht haben.</w:t>
      </w:r>
    </w:p>
    <w:p>
      <w:r>
        <w:rPr>
          <w:b/>
        </w:rPr>
        <w:t>E. 5.6</w:t>
      </w:r>
    </w:p>
    <w:p>
      <w:r>
        <w:t>Unter diesen Umständen hat die Vorinstanz zu Recht die Erteilung der Einreisebewilligung verweigert und die Asylgesuche der Beschwerdeführenden abgewiesen.</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Kosten grundsätzlich den Beschwerdeführenden aufzuerlegen (Art. 63 Abs. 1 VwVG). Aus verwaltungsökonomischen Gründen ist in Anwendung von Art. 63 Abs. 1 in fine VwVG und Art. 6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