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E-7600/2010 vom 9. November 2010</w:t>
      </w:r>
    </w:p>
    <w:p>
      <w:r>
        <w:t>Bundesverwaltungsgericht, 2010-11-09, DE</w:t>
      </w:r>
    </w:p>
    <w:p>
      <w:r>
        <w:rPr>
          <w:b/>
        </w:rPr>
        <w:t xml:space="preserve">Quelle: </w:t>
      </w:r>
      <w:r>
        <w:t>https://mcp.opencaselaw.ch/entscheid/bvger_E-7600_2010</w:t>
      </w:r>
    </w:p>
    <w:p>
      <w:r>
        <w:t>FR: TAF E-7600/2010 du 9 novembre 2010</w:t>
      </w:r>
    </w:p>
    <w:p>
      <w:r>
        <w:t>IT: TAF E-7600/2010 del 9 novembre 2010</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Bundesamt für Migration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Asyls endgültig (Art. 105 AsylG; Art. 83 Bst. d Ziff. 1 des Bundesgerichtsgesetzes vom 17. Juni 2005 [BGG, SR 173.110]).</w:t>
      </w:r>
    </w:p>
    <w:p>
      <w:r>
        <w:rPr>
          <w:b/>
        </w:rPr>
        <w:t>E. 1.2</w:t>
      </w:r>
    </w:p>
    <w:p>
      <w:r>
        <w:t>Das Verfahren richtet sich nach dem VwVG, dem VGG und dem BGG, soweit das AsylG nichts anderes bestimmt (Art. 37 VGG und Art. 105 AsylG).</w:t>
      </w:r>
    </w:p>
    <w:p>
      <w:r>
        <w:rPr>
          <w:b/>
        </w:rPr>
        <w:t>E. 1.3</w:t>
      </w:r>
    </w:p>
    <w:p>
      <w:r>
        <w:t>Die Beschwerde ist frist- und formgerecht eingereicht (Art. 108 Abs. 1 AsylG, Art. 105 AsylG i.V.m. Art. 52 VwVG). Die Beschwerdeführerin ist durch die angefochtene Verfügung besonders berührt und hat ein schutzwürdiges Interesse an deren Aufhebung beziehungsweise Änderung; sie ist daher zur Einreichung der Beschwerde legitimiert (Art. 105 AsylG i.V.m.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des Schriftenwechsels verzichtet.</w:t>
      </w:r>
    </w:p>
    <w:p>
      <w:r>
        <w:rPr>
          <w:b/>
        </w:rPr>
        <w:t>E. 4</w:t>
      </w:r>
    </w:p>
    <w:p>
      <w:r>
        <w:t>Gemäss Art. 19 Abs. 1 AsylG kann ein Asylgesuch bei einer Schweizerischen Vertretung im Ausland gestellt werden. Diese führt in der Regel mit der asylsuchenden Person eine Befragung durch. Ist dies nicht möglich, ist die Person aufzufordern, ihre Asylgründe schriftlich festzulegen (Art. 10 der Asylverordnung 1 vom 11. August 1999 über Verfahrensfragen [AsylV 1, SR 142.311]). Neben organisatorischen oder kapazitätsmässigen Engpässen kann sich eine Befragung auch erübrigen, wenn der Sachverhalt bereits aufgrund des eingereichten Asylgesuchs als entscheidreif erstellt erscheint. Diesbezüglich ist der asylsuchenden Person das rechtliche Gehör zu gewähren (vgl. Entscheidungen und Mitteilungen der Schweizerischen Asylrekurskommission [EMARK] 2007 Nr. 30 E. 5.7). Der Verzicht auf auf eine Befragung ist vom BFM zu begründen (vgl. EMARK 2007 Nr. 30 E. 5.6). Die Schweizerische Vertretung überweist das Gesuch sowie einen - falls vorhanden - ergänzenden Bericht dem BFM, welches die Einreise in die Schweiz zur Abklärung des Sachverhalts bewilligt, wenn der schutzsuchenden Person nicht zugemutet werden kann, im Wohnsitz- oder Aufenthaltsstaat zu bleiben oder in ein anderes Land auszureisen (Art. 20 Abs. 1 und 2 AsylG). Das Bundesamt kann ein im Ausland gestelltes Asylgesuch ablehnen, wenn die asylsuchende Person keine Verfolgung glaubhaft machen kann (Art. 3 und 7 AsylG) oder ihr die Aufnahme in einen Drittstaat zugemutet werden kann (Art. 52 Abs. 2 AsylG). Die Voraussetzungen für die Erteilung einer Einreisebewilligung sind grundsätzlich restriktiv umschrieben. Den Asylbehörden kommt dabei ein weiter Ermessensspielraum zu. Neben der erforderlichen Gefährdung im Sinne von Art. 3 AsylG sind namentlich die Beziehungsnähe zur Schweiz und zu anderen Staaten, die Möglichkeit und objektive Zumutbarkeit einer anderweitigen Schutzsuche sowie die voraussichtlichen Eingliederungs- und Assimilationsmöglichkeiten in Betracht zu ziehen. Ausschlaggebend ist mit anderen Worten die Schutzbedürftigkeit der betreffenden Person, das heisst die Beantwortung der Fragen, ob eine Gefährdung im Sinne von Art. 3 AsylG glaubhaft erscheint und der Verbleib am Aufenthaltsort für die Dauer der Sachverhaltsabklärung zugemutet werden kann, beziehungsweise ob der betreffenden Person - ohne nähere Prüfung einer allfälligen Gefährdung im Sinne von Art. 3 AsylG - zuzumuten ist, sich in einem anderen Staat um Aufnahme zu bemühen (vgl. EMARK 1997 Nr. 15 E. 2e-g; 2004 Nr. 20 E. 3b; 2004 Nr. 21 E. 2; 2005 Nr. 19 E. 4).</w:t>
      </w:r>
    </w:p>
    <w:p>
      <w:r>
        <w:rPr>
          <w:b/>
        </w:rPr>
        <w:t>E. 5.1</w:t>
      </w:r>
    </w:p>
    <w:p>
      <w:r>
        <w:t>Das BFM führte zur Begründung seiner abweisenden Verfügung vom 27. August 2010 aus, dass sich die Situation in Sri Lanka seit dem Jahr 2008, als bei den Machtkämpfen zwischen der Regierung und der LTTE zahlreiche Menschen zum Opfer gefallen seien, verändert habe. Der Krieg sei im Mai 2009 mit der Niederlage der LTTE zu Ende gegangen und das gesamte Land befinde sich seit 1983 erstmals wieder unter Regierungskontrolle. Von daher sei die von der Beschwerdeführerin geltend gemachte Furcht vor Verfolgung nicht hinlänglich begründet. Zudem habe die Vorinstanz Verständnis für die gegenwärtige schwierige Lage der Beschwerdeführerin. Dennoch könne dem Gesuch um Einreise in die Schweiz nicht entsprochen werden, da der Verlust des Ehemannes und Ernährers allgemein politische, soziale und wirtschaftliche Lebensbedingungen in Sri Lanka und keine einreiserelevante Verfolgung im Sinne von Art. 3 AsylG darstelle. Die eingereichten Dokumente würden diese Ansicht nicht zu ändern vermögen.</w:t>
      </w:r>
    </w:p>
    <w:p>
      <w:r>
        <w:rPr>
          <w:b/>
        </w:rPr>
        <w:t>E. 5.2</w:t>
      </w:r>
    </w:p>
    <w:p>
      <w:r>
        <w:t>In der Beschwerdeschrift vom 15. Oktober 2010 hielt die Beschwerdeführerin der vorinstanzlichen Argumentation lediglich entgegen, die vorherrschende Ungewissheit und die knappen finanziellen Mittel, die ihr seit dem Tod ihres Ehemannes zur Verfügung stünden, würden sie - sinngemäss - verzweifeln lassen. Sie wolle einzig ihre fünf Kinder beschützen und ihnen eine Chance ermöglichen.</w:t>
      </w:r>
    </w:p>
    <w:p>
      <w:r>
        <w:rPr>
          <w:b/>
        </w:rPr>
        <w:t>E. 6.1</w:t>
      </w:r>
    </w:p>
    <w:p>
      <w:r>
        <w:t>Nach der Prüfung der Akten gelangt das Bundesverwaltungsgericht zum Schluss, dass die Vorinstanz richtig feststellte, dass die Beschwerdeführerin nicht schutzbedürftig im Sinne des Asylgesetzes ist, weshalb es zu Recht das Asylgesuch abwies und die Einreise in die Schweiz verweigerte.</w:t>
      </w:r>
    </w:p>
    <w:p>
      <w:r>
        <w:rPr>
          <w:b/>
        </w:rPr>
        <w:t>E. 6.2</w:t>
      </w:r>
    </w:p>
    <w:p>
      <w:r>
        <w:t>Bewaffnete Konflikte haben leidvolle Auswirkungen, insbesondere auf weite Teile der Zivilbevölkerung, die vor den Kriegsfolgen ausser Landes oder in andere Landesregionen flüchten. Auch nach Ende eines solchen Konflikts ist es meist die Bevölkerung, welche angesichts der Aufräumarbeiten, Vergangenheitsbewältigung und der Neustrukturierung eines Landes, in einschneidender Weise zu leiden hat. Diese Personen sind in der Regel indes nicht gezielt verfolgt. Individuell gezielte Nachteile im Sinne von Art. 3 AsylG sind erst dann anzunehmen, wenn die schutzsuchende Person nicht lediglich den gleichen Risiken und Einschränkungen wie die gesamte Bevölkerung ihres Heimatstaates ausgesetzt ist, und somit von den Ereignissen nicht lediglich "reflexartig" im Sinne ungezielter "Nebenfolgen" eines Krieges, betroffen ist (vgl. EMARK 1998 Nr. 17 E. 4c.bb).</w:t>
      </w:r>
    </w:p>
    <w:p>
      <w:r>
        <w:rPr>
          <w:b/>
        </w:rPr>
        <w:t>E. 6.3</w:t>
      </w:r>
    </w:p>
    <w:p>
      <w:r>
        <w:t>Seit dem Umzug von Jaffna nach Colombo im (...) 2008 macht die Beschwerdeführerin keine konkreten Behelligungen mehr geltend.</w:t>
      </w:r>
    </w:p>
    <w:p>
      <w:r>
        <w:rPr>
          <w:b/>
        </w:rPr>
        <w:t>E. 6.4</w:t>
      </w:r>
    </w:p>
    <w:p>
      <w:r>
        <w:t>Das Bundesverwaltungsgericht verkennt nicht, dass die Beschwerdeführerin durch den Tod ihres Ehemannes und Ernährers der Familie hart getroffen wurde; dennoch ist keine aktuelle Gefährdung (beziehungsweise künftige Verfolgung) ihrer Person und ihrer Kinder ersichtlich. Der Verbleib im Heimatland kann der Beschwerdeführerin und ihren Töchtern trotz ihres Schicksals zugemutet werden. Unter diesen Umständen hat die Vorinstanz der Beschwerdeführerin zu Recht die Erteilung der Einreisebewilligung verweigert und das Asylgesuch abgewiesen.</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w:t>
      </w:r>
    </w:p>
    <w:p>
      <w:r>
        <w:t>Bei diesem Ausgang des Verfahrens wären die Kosten der Beschwerdeführerin aufzuerlegen (Art. 63 Abs. 1 VwVG). Aus verwaltungsökonomischen Gründen und in Anwendung von Art. 6 des Reglements vom 21. Februar 2008 über die Kosten und Entschädigungen vor dem Bundesverwaltungsgericht (VGKE, SR 173.320.2) ist allerdings auf die Erhebung von diesen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