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E-7599/2009 vom 12. Januar 2010</w:t>
      </w:r>
    </w:p>
    <w:p>
      <w:r>
        <w:t>Bundesverwaltungsgericht, 2010-01-12, DE</w:t>
      </w:r>
    </w:p>
    <w:p>
      <w:r>
        <w:rPr>
          <w:b/>
        </w:rPr>
        <w:t xml:space="preserve">Quelle: </w:t>
      </w:r>
      <w:r>
        <w:t>https://mcp.opencaselaw.ch/entscheid/bvger_E-7599_2009</w:t>
      </w:r>
    </w:p>
    <w:p>
      <w:r>
        <w:t>FR: TAF E-7599/2009 du 12 janvier 2010</w:t>
      </w:r>
    </w:p>
    <w:p>
      <w:r>
        <w:t>IT: TAF E-7599/2009 del 12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Prüfung der Akten gelangt das Gericht zum Schluss, dass die Einschätzung der Vorinstanz vollumfänglich zu bestätigen ist. Zu Recht hat das BFM festgestellt, die Behörden im Heimatland des Beschwerdeführers seien grundsätzlich in der Lage und willens, adäquaten Schutz vor Repressalien durch Dritte zu gewährleisten. Dazu gilt es zu beachten, dass der Bundesrat mit Bundesratsbeschluss vom 6. März 2009 Kosovo als verfolgungssicheren Staat ("Safe Country") bezeichnet hat. Der Beschwerdeführer vermag diese Einschätzung weder mit seinen Vorbringen noch mit den zu den Akten gegebenen Beweismitteln umzustossen, zumal er die staatlichen Behörden im Kosovo nicht um Schutz ersucht hat. Im Weiteren vermögen die vom Beschwerdeführer vorgebrachten Behelligungen ohnehin die Kriterien einer flüchtlingsrechtlich relevanten Verfolgung gemäss Art. 3 AsylG wegen fehlendem zeitlichem Zusammenhang mit der Flucht, beziehungsweise mangels hinreichender Intensität nicht zu erfüllen. Schliesslich ist darauf hinzuweisen, dass der Beschwerdeführer sich allfälligen Übergriffen in seinem Herkunftsort durch eine Verlegung seines Wohnsitzes nach Serbien, wo er sich nach eigenen Angaben bereits wiederholt aufgehalten hat und über ein Beziehungsnetz verfügt, entziehen kann. Da Serbien die Unabhängigkeit des Kosovo nicht anerkannt hat und dieses Gebiet in seiner Verfassung von 2006 ausdrücklich als integralen Bestandteil Serbiens bezeichnet, kann davon ausgegangen werden, dass der Beschwerdeführer von den serbischen Behörden weiterhin als serbischer Staatsangehöriger betrachtet wird. Dies wird auch vom Beschwerdeführer nicht bestritten und seinen Ausführungen im erstinstanzlichen Verfahren sowie in der Beschwerdeeingabe sind keine Hinweise auf eine Gefährdung in Serbien zu entnehmen.</w:t>
      </w:r>
    </w:p>
    <w:p>
      <w:r>
        <w:rPr>
          <w:b/>
        </w:rPr>
        <w:t>E. 5.2</w:t>
      </w:r>
    </w:p>
    <w:p>
      <w:r>
        <w:t>Zusammenfassend ist festzuhalten, dass es dem Beschwerdeführer nicht gelungen ist, eine asylrelevante Verfolgungsgefahr auf dem gesamten Gebiet seines Herkunftsstaats nachzuweisen oder glaubhaft darzutun. Es erübrigt sich, auf weitere Ausführungen in der Beschwerde einzugehen, da diese am Ergebnis nichts zu ändern vermögen. Somit hat die Vorinstanz zu Recht die Flüchtlingseigenschaft des Beschwerdeführers verneint und sein Asylgesuch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Kosovo ist demnach unter dem Aspekt von Art. 5 AsylG rechtmässig. Sodann ergeben sich weder aus den Aussagen des Beschwerdeführers noch aus den Akten Anhaltspunkte dafür, dass er für den Fall einer Ausschaffung in den Kosovo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Kosovo lässt den Wegweisungsvollzug zum heutigen Zeitpunkt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7.4.2</w:t>
      </w:r>
    </w:p>
    <w:p>
      <w:r>
        <w:t>Wie oben dargelegt (vgl. Ziff. 5.1) steht dem Beschwerdeführer als serbischem Staatsangehörigen grundsätzlich die Möglichkeit offen, im serbischen Staatsgebiet ausserhalb des Kosovo Wohnsitz zu nehmen. Gemäss Aktenlage verfügt er über eine Berufsausbildung und über berufliche Erfahrung und es liegen keine Hinweise auf bestehende gesundheitliche Probleme vor. Zudem hat der Beschwerdeführer sich nach eigener Darstellung in der Vergangenheit regelmässig in Serbien aufgehalten, wo er während einigen Monaten gearbeitet und einen Freundes- und Bekanntenkreis hat, welcher ihn in der Vergangenheit bereits unterstützt hat. Unter diesen Umständen ist - ohne die bisweilen prekäre Situation der Binnenvertriebenen in Serbien zu verkennen - davon auszugehen, dass der Beschwerdeführer in Serbien keiner existenziellen Gefährdung ausgesetzt ist und er somit dort über eine zumutbare Aufenthaltsalternative verfügt. Unter diesen Umständen kann die Frage der Zumutbarkeit der Rückkehr des Beschwerdeführers in seinen Herkunftsort in der Gemeinde D._______ beziehungsweise des Bestehens einer innerstaatlichen Aufenthaltsalternative im serbisch besiedelten Norden des Kosovo offengelassen werden.</w:t>
      </w:r>
    </w:p>
    <w:p>
      <w:r>
        <w:rPr>
          <w:b/>
        </w:rPr>
        <w:t>E. 7.4.3</w:t>
      </w:r>
    </w:p>
    <w:p>
      <w:r>
        <w:t>Nach dem Gesagten erweist sich Vollzug der Wegweisung auch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