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E-7588/2009 vom 25. Februar 2010</w:t>
      </w:r>
    </w:p>
    <w:p>
      <w:r>
        <w:t>Bundesverwaltungsgericht, 2010-02-25, FR</w:t>
      </w:r>
    </w:p>
    <w:p>
      <w:r>
        <w:rPr>
          <w:b/>
        </w:rPr>
        <w:t xml:space="preserve">Quelle: </w:t>
      </w:r>
      <w:r>
        <w:t>https://mcp.opencaselaw.ch/entscheid/bvger_E-7588_2009</w:t>
      </w:r>
    </w:p>
    <w:p>
      <w:r>
        <w:t>FR: TAF E-7588/2009 du 25 février 2010</w:t>
      </w:r>
    </w:p>
    <w:p>
      <w:r>
        <w:t>IT: TAF E-7588/2009 del 25 febbraio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été en mesure de faire apparaître la pertinence et la crédibilité de ses motifs.</w:t>
      </w:r>
    </w:p>
    <w:p>
      <w:r>
        <w:rPr>
          <w:b/>
        </w:rPr>
        <w:t>E. 3.2</w:t>
      </w:r>
    </w:p>
    <w:p>
      <w:r>
        <w:t>On peut certes admettre que les risques de représailles invoqués par l'intéressée pourraient trouver leur origine dans son appartenance à un groupe social spécifique, à savoir celui des mères célibataires, respectivement celui des femmes ayant violé les règles de comportement que la société kosovare entend leur imposer. Il existe donc une difficulté tenant à la définition précise du groupe en cause. Toutefois, sur la base de l'art. 3 al. 2 in fine LAsi, la jurisprudence a admis (Jurisprudence et informations de la Commission suisse de recours en matière d'asile [JICRA] 2006 n° 32 p. 336ss) que l'appartenance au genre féminin pouvait être de nature, dans certaines circonstances, à influencer, voire déterminer la persécution. Dès lors, le fait d'être une femme, soumise à certaines discriminations, peut entraîner, en conséquence du comportement que peut adopter la victime, des mesures persécutrices ; autrement dit, ce comportement, combiné à l'appartenance au genre féminin, peut aggraver et transformer une discrimination courante en la faisant dériver vers un risque de persécution. La question de l'éventuelle appartenance de la personne visée à un groupe social spécifique perd alors sa portée (cf. JICRA précitée, cons. 8.5. à 8.7.). Il est dès lors possible que l'intéressée appartienne à un groupe social identifiable par un éventuel persécuteur sans difficultés majeures, ou assez délimité pour exposer les membres du groupe à une discrimination ; le fait que ce groupe ne comporte aucune cohésion interne claire peut toutefois permettre une autre appréciation (cf. à ce sujet : sous la direction de ERIKA FELLER, VOLKER TÜRK, FRANCES NICHOLSON, La protection des réfugiés en droit international, Bruxelles 2008, p. 352-353 et 390-392).</w:t>
      </w:r>
    </w:p>
    <w:p>
      <w:r>
        <w:rPr>
          <w:b/>
        </w:rPr>
        <w:t>E. 3.3</w:t>
      </w:r>
    </w:p>
    <w:p>
      <w:r>
        <w:t>En l'espèce toutefois, le Tribunal considère qu'il n'y a pas lieu de répondre à cette question, la crainte qu'exprime l'intéressée d'une future persécution en cas de retour n'étant pas suffisamment fondée. En effet, tel ne serait le cas que si la crainte apparaissait objectivement sérieuse, et non hypothétique, et que la personne intéressée avait des raisons subjectives, eu égard à ses caractéristiques individuelles ou à ses antécédents, de redouter une telle éventualité (cf. notamment JICRA 2004 n° 1 et les réf. citées). Dans le cas de A._______, cependant, il n'existe pas d'indices clairs et concordants indiquant que son ancien compagnon soit décidé à s'en prendre à elle, les assertions de la recourante apparaissant comme de pures hypothèses ; E._______ aurait d'ailleurs affirmé qu'elle pouvait partir, certes en laissant les enfants (cf. audition du 19 novembre 2008, questions 114-115), et il ne l'aurait jamais agressée durant leur vie commune. Le risque qu'invoque en fait l'intéressée est celui d'être séparée de ses enfants par son ancien compagnon, cela avec l'accord de sa propre famille. De tels agissements, aussi difficiles à supporter qu'ils puissent être pour la recourante, ne constitueraient cependant pas une persécution, car ils ne mettraient pas la vie ou l'intégrité de A._______ en danger de manière directe, et ne seraient pas motivés par une des raisons prévues à l'art. 3 LAsi.</w:t>
      </w:r>
    </w:p>
    <w:p>
      <w:r>
        <w:rPr>
          <w:b/>
        </w:rPr>
        <w:t>E. 3.4</w:t>
      </w:r>
    </w:p>
    <w:p>
      <w:r>
        <w:t>De plus, selon la jurisprudence (JICRA 2006 n° 18 cons. 10.2-10.3 p. 202-204), la protection internationale contre des persécutions non-étatiques est subsidiaire à celle que peuvent accorder les autorités de l'Etat national, à condition que cette protection soit adéquate, à savoir que la personne persécutée puisse en pratique faire appel à des structures efficaces de protection, et qu'on puisse exiger d'elle qu'elle fasse cette démarche. Dans le cas particulier, il faut retenir que le Kosovo est profondément marqué par les règles ancestrales du droit coutumier albanais (le Kanun), notamment par le système patriarcal et la distribution traditionnelle des rôles au sein de la famille. La violence domestique, légitimée par le Kanun, y est largement répandue et considérée comme une question d'ordre privé (cf. Rainer Mattern, Kosovo, La signification des traditions dans le Kosovo d'aujourd'hui, 24 novembre 2004, Organisation suisse d'aide aux réfugiés [édit.], Berne 2004, p. 8 ss). On ne saurait toutefois considérer que les autorités s'abstiennent de prendre des mesures ou d'intervenir dans les cas de graves violences domestiques, pour des motifs discriminatoires fondés sur la qualité de femmes des victimes. En effet, depuis quelques années, la situation, sur le plan social et politique, a évolué favorablement au Kosovo. La violence domestique y demeure certes un problème important et persistant, surtout dans les régions rurales, en raison de la prévalence de la discrimination sociale, du manque de possibilités d'emploi, et surtout de l'absence de volonté des victimes de demander protection et réparation aux institutions policières et judiciaires, notamment par crainte de représailles ou d'humiliation devant les tribunaux. Cependant, le droit en vigueur au Kosovo prévoit une procédure civile permettant aux victimes de violences domestiques de demander protection. Même si l'application de la législation n'est pas encore exempte de lacunes, le gouvernement du Kosovo, par l'intermédiaire du Ministère du Travail et de l'Action Sociale, a entrepris des efforts en vue de lutter contre les violences à l'égard des femmes, en apportant notamment un soutien financier aux organisations non gouvernementales actives dans ce domaine, au niveau local et international. En particulier, une ligne téléphonique a été mise en place, par l'entremise de la Mission de l'OSCE au Kosovo, en vue d'informer les victimes de leurs droits et leur apporter assistance. L'école de police offre même des cours spéciaux sur les violences domestiques. Enfin, aucune source récente n'indique que la police aurait répondu de manière inadéquate dans le cadre d'une dénonciation (cf. U.S. Department of State, Country Reports on Human Rights Practices: Kosovo, février 2009 ; UNMIK, OSCE, Mission in Kosovo, Report on domestic violence cases in Kosovo, juillet 2007).</w:t>
      </w:r>
    </w:p>
    <w:p>
      <w:r>
        <w:rPr>
          <w:b/>
        </w:rPr>
        <w:t>E. 3.5</w:t>
      </w:r>
    </w:p>
    <w:p>
      <w:r>
        <w:t>Il s'ensuit que le recours, en tant qu'il conteste le refus de l'asile, doit être rejeté, la crainte exprimée par la recourante d'une éventuelle persécution au Kosovo n'étant pas fondée.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 En l'occurrence, c'est sur la question de l'exigibilité que le Tribunal doit porter son examen.</w:t>
      </w:r>
    </w:p>
    <w:p>
      <w:r>
        <w:rPr>
          <w:b/>
        </w:rPr>
        <w:t>E. 6.2</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même de moindre qualité qu'en Suisse, l'exécution du renvoi sera raisonnablement exigible. Cela dit,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6.3</w:t>
      </w:r>
    </w:p>
    <w:p>
      <w:r>
        <w:t>En l'espèce, l'état de santé psychique de A._______ apparaît, selon les médecins en charge de son cas, gravement altéré. En effet, l'état dépressif aigu dont elle est atteinte a motivé deux hospitalisations, ainsi que le placement de ses enfants ; en outre, les tendances suicidaires qu'elle a manifestées sont de nature à la rendre dangereuse pour elle-même et les enfants. Les thérapeutes ont également constaté que l'état de la recourante nécessitait non seulement un traitement par médicaments et entretiens réguliers, mais aussi un encadrement adéquat, faisant intervenir "un réseau médico-psycho-social" pluridisciplinaire, qui devrait organiser et ajuster le suivi social et éducatif des enfants. Il apparaît en outre qu'un important risque de décompensation subsiste. Par ailleurs, si un traitement médicamenteux des affections psychiques est possible au Kosovo, les ressources médicales du pays ne permettent guère un traitement psychiatrique proprement dit, pourtant indispensable à la recourante ; il n'est à la rigueur possible qu'à l'hôpital universitaire de Pristina (clinique neuropsychiatrique), mais dans une mesure que les possibilités pratiques rendent très limitée, et d'un accès difficile (cf. OSAR, Kosovo-Etat des soins de santé, juin 2007). De plus, il n'existe pas au Kosovo de système d'assurance-maladie général, mais uniquement un système d'assurance public couvrant une part de la population (mineurs, personnes âgées, victimes de guerre, handicapés physiques et certains malades chroniques) dont le manque d'efficacité est notoire ; les malades sont donc en pratique appelés à assumer les frais du traitement, y compris souvent ceux de l'acquisition des médicaments prescrits (cf. UK Home Office, Kosovo, octobre 2009). Dès lors, vu ces carences, un risque grave et sérieux de dégradation de l'état psychique de l'intéressée existe dans l'hypothèse d'un retour au Kosovo.</w:t>
      </w:r>
    </w:p>
    <w:p>
      <w:r>
        <w:rPr>
          <w:b/>
        </w:rPr>
        <w:t>E. 6.4</w:t>
      </w:r>
    </w:p>
    <w:p>
      <w:r>
        <w:t>A cela s'ajoute que les perspectives de réintégration de l'intéressée peuvent être considérées comme mauvaises. Comme on l'a vu plus haut, elle pourra trouver une protection contre d'éventuelles violences de son ex-compagnon. Toutefois, elle aura la charge de ses trois enfants dont elle pourra difficilement assurer l'entretien car, même au bénéfice d'une scolarité complète, elle ne dispose d'aucune expérience professionnelle. La situation des enfants, et particulièrement du plus jeune, ne pourra donc qu'en pâtir, le risque pour eux de tomber dans le dénuement étant hautement probable. A cela s'ajoute que la recourante ne pourra pas compter sur l'aide de sa famille : si sa soeur l'a ponctuellement aidée à quitter le Kosovo, on ne peut en déduire qu'elle pourra assurer à la recourante un soutien durable ; il en va de même de sa mère. Quant au père de l'intéressée, il a entendu rompre toute relation avec sa fille, vu les conditions dans lesquelles elle a quitté E._______ ; cette attitude a toutes les raisons de persister, vu la naissance d'un enfant hors mariage. Cette dernière circonstance est également de nature à priver l'intéressée du soutien de ses deux frères établis en Suisse, soutien dont rien ne permettrait d'ailleurs de présumer la pérennité.</w:t>
      </w:r>
    </w:p>
    <w:p>
      <w:r>
        <w:rPr>
          <w:b/>
        </w:rPr>
        <w:t>E. 6.5</w:t>
      </w:r>
    </w:p>
    <w:p>
      <w:r>
        <w:t>Dans ce contexte, l'exécution du renvoi doit donc être considérée comme inexigible. Dès lors, au vu de la conjugaison de facteurs défavorables affectant l'intéressée et ses enfants, il y a lieu de prononcer leur admission provisoire ; celle-ci, en principe d'une durée d'un an (art. 85 al. 1 LEtr), renouvelable si nécessaire, apparaît mieux à même d'écarter les risques sérieux qu'ils courent actuellement en cas de retour.</w:t>
      </w:r>
    </w:p>
    <w:p>
      <w:r>
        <w:rPr>
          <w:b/>
        </w:rPr>
        <w:t>E. 7</w:t>
      </w:r>
    </w:p>
    <w:p>
      <w:r>
        <w:t>En conséquence, le recours doit être admis, en tant qu'il conclut au prononcé de l'admission provisoire, et la décision attaquée annulée sur ce point. L'autorité de première instance est donc invitée à prononcer l'admission provisoire de la recourante et de ses enfants.</w:t>
      </w:r>
    </w:p>
    <w:p>
      <w:r>
        <w:rPr>
          <w:b/>
        </w:rPr>
        <w:t>E. 8.1</w:t>
      </w:r>
    </w:p>
    <w:p>
      <w:r>
        <w:t>La recourante ne disposant pas des moyens lui permettant d'assumer les frais de la procédure, et le recours n'étant pas d'emblée voué à l'échec, la requête tendant à l'assistance judiciaire partielle est admise (art.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Le Tribunal fixe le montant de l'indemnité, sur la base de la note de frais du 15 février 2010 (art. 14 al. 2 du règlement du 11 décembre 2006 concernant les frais, dépens et indemnités fixés par le Tribunal administratif fédéral [FITAF, RS 173.320.2]), à la somme de Fr. 835.-. L'admission du recours étant partielle, les dépens sont arrêtés à la moitié de cette somme, soit Fr. 417.50.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