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E-7585/2016 vom 19. Januar 2018</w:t>
      </w:r>
    </w:p>
    <w:p>
      <w:r>
        <w:t>Bundesverwaltungsgericht, 2018-01-19, DE</w:t>
      </w:r>
    </w:p>
    <w:p>
      <w:r>
        <w:rPr>
          <w:b/>
        </w:rPr>
        <w:t xml:space="preserve">Quelle: </w:t>
      </w:r>
      <w:r>
        <w:t>https://mcp.opencaselaw.ch/entscheid/bvger_E-7585_2016</w:t>
      </w:r>
    </w:p>
    <w:p>
      <w:r>
        <w:t>FR: TAF E-7585/2016 du 19 janvier 2018</w:t>
      </w:r>
    </w:p>
    <w:p>
      <w:r>
        <w:t>IT: TAF E-7585/2016 del 19 gennaio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Gestützt auf Art. 111a Abs. 1 AsylG wurde vorliegend auf die Durchführung eines Schriftenwechsels verzichtet.</w:t>
      </w:r>
    </w:p>
    <w:p>
      <w:r>
        <w:rPr>
          <w:b/>
        </w:rPr>
        <w:t>E. 3.1</w:t>
      </w:r>
    </w:p>
    <w:p>
      <w:r>
        <w:t>Der Beschwerdeführer rügt in der Rechtsmitteleingabe zunächst, die Vorinstanz habe den Anspruch auf rechtliches Gehör verletzt. Dem neu mandatierten Rechtsvertreter seien die Akten nicht zur Einsicht zugestellt worden. Insbesondere sei ihm das LINGUA-Gutachten nicht übermittelt und die Identität des Sachverständigen nicht offengelegt worden. Aufgrund der Verweigerung des Akteneinsichtsrechts könne er sich mit dem Gutachten nicht angemessen auseinandersetzen, wodurch ihm eine rechtliche Auseinandersetzung mit den Erwägungen der Vorinstanz verunmöglicht werde.</w:t>
      </w:r>
    </w:p>
    <w:p>
      <w:r>
        <w:rPr>
          <w:b/>
        </w:rPr>
        <w:t>E. 3.2</w:t>
      </w:r>
    </w:p>
    <w:p>
      <w:r>
        <w:t>Mit der angefochtenen Verfügung hat die Vorinstanz dem vormalig mandatierten Rechtsvertreter des Beschwerdeführers die editionspflichten Akten zugestellt. Mit Schreiben vom 30. November 2016 teilte sie dem jetzigen Vertreter mit, die Akten würden nicht erneut zugestellt. Unter Bekanntgabe des Namens und der Adresse des vormaligen Rechtsvertreters führte sie weiter aus, er können sich für den Erhalt der Akten an diesen wenden. Vor diesem Hintergrund ist den Ausführungen in der Beschwerdeschrift, wonach der jetzige Rechtsvertreter zunächst beim Beschwerdeführer den Namen des vormaligen Rechtsvertreters habe in Erfahrung bringen müssen, die Grundlage entzogen. Mit Blick auf die übermittelten Kontaktdaten des vormaligen Rechtsvertreters wäre es dem aktuellen Rechtsvertreter sodann möglich und zumutbar gewesen, in der verbleibenden Zeit bis zum Ablauf der Beschwerdefrist die Vorakten beim ebenfalls in Zürich praktizierenden Kollegen erhältlich zu machen. Somit erweist sich diesbezüglich die Rüge der Verletzung des rechtlichen Gehörs - wie bereits aus der Zwischenverfügung vom 16. Dezember 2016 hervorgeht - als unbegründet. Im Übrigen spielt es keine Rolle, wie umfangreich das Dossier ist.</w:t>
      </w:r>
    </w:p>
    <w:p>
      <w:r>
        <w:rPr>
          <w:b/>
        </w:rPr>
        <w:t>E. 3.3</w:t>
      </w:r>
    </w:p>
    <w:p>
      <w:r>
        <w:t>Wie ebenfalls in der vorgenannten Zwischenverfügung dargelegt, dürfen LINGUA-Berichte und die Identität der damit betrauten sachverständigen Personen aufgrund überwiegender öffentlicher und privater Interessen (Art. 27 VwVG) geheim gehalten werden. Die ehemalige Asylrekurskommission und das Bundesverwaltungsgericht haben sich in ihrer Rechtsprechung ausführlich dazu geäussert, wie sich die grundsätzlich für zulässig befundene Geheimhaltung des LINGUA-Berichtes und der Identität der damit betrauten sachverständigen Person mit dem Anspruch auf rechtliches Gehör (Art. 29 Abs. 2 BV, Art. 29 VwVG) vereinbaren lässt. Um dem Anspruch auf rechtliches Gehör Genüge zu tun, muss der asylsuchenden Person vom wesentlichen Inhalt des LINGUA-Berichtes vor Erlass der Verfügung Kenntnis gegeben werden (Art. 28 VwVG); zudem muss ihr Gelegenheit gegeben werden, sich zu diesem Inhalt zu äussern und Gegenbeweismittel zu bezeichnen (Art. 30 Abs. 1 VwVG). In Bezug auf die sachverständige Person besteht der Anspruch, dass Herkunft, Dauer und Zeitraum des Aufenthaltes im umstrittenen Herkunftsland sowie der Werdegang, auf welchen sich die Sachkompetenz abstützt, vollständig offengelegt werden (vgl. BVGE 2015/10, E. 5.2).</w:t>
      </w:r>
    </w:p>
    <w:p>
      <w:r>
        <w:rPr>
          <w:b/>
        </w:rPr>
        <w:t>E. 3.4</w:t>
      </w:r>
    </w:p>
    <w:p>
      <w:r>
        <w:t>Die Vorinstanz hat dem Beschwerdeführer in Übereinstimmung mit der obgenannten Vorgehensweise eine Zusammenfassung der wesentlichen Punkte des LINGUA-Gutachtens sowie den Werdegang und die Qualifikation der sachverständigen Person offengelegt und ihm diesbezüglich vor Erlass der angefochtenen Verfügung das rechtliche Gehör gewährt. Entgegen den Ausführungen in der Rechtsmitteleingabe ist das Gutachten sodann nicht kompetenzüberschreitend. Die Rüge erweist sich als unbegründet.</w:t>
      </w:r>
    </w:p>
    <w:p>
      <w:r>
        <w:rPr>
          <w:b/>
        </w:rPr>
        <w:t>E. 3.5</w:t>
      </w:r>
    </w:p>
    <w:p>
      <w:r>
        <w:t>Der Beschwerdeführer rügt weiter, die Vorinstanz habe die Begründungspflicht verletzt, da die Vorinstanz sich nicht ansatzweise mit seinen Vorbringen auseinandergesetzt habe. Die vorinstanzliche Begründung ist hinreichend abgefasst. In der angefochtenen Verfügung sind die wesentlichen Überlegungen vorhanden, von denen sich das SEM leiten liess und die zum Schluss auf Unglaubhaftigkeit der Vorbringen führten. Nicht erforderlich ist, dass sich die Begründung mit allen Parteistandpunkten einlässlich auseinandersetzt und jedes einzelne Vorbringen ausdrücklich widerlegt (vgl. BGE 136 I 184 E. 2.2.1). Wie die vorliegende Beschwerde denn auch zeigt, war eine sachgerechte Anfechtung der Verfügung möglich. Im Übrigen substantiiert der Beschwerdeführer das Vorbringen nicht weiter. Die erhobene Rüge geht daher fehl.</w:t>
      </w:r>
    </w:p>
    <w:p>
      <w:r>
        <w:rPr>
          <w:b/>
        </w:rPr>
        <w:t>E. 3.6</w:t>
      </w:r>
    </w:p>
    <w:p>
      <w:r>
        <w:t>Insgesamt hat die Vorinstanz den Anspruch des Beschwerdeführers auf rechtliches Gehör nicht verletzt.</w:t>
      </w:r>
    </w:p>
    <w:p>
      <w:r>
        <w:rPr>
          <w:b/>
        </w:rPr>
        <w:t>E. 4.1</w:t>
      </w:r>
    </w:p>
    <w:p>
      <w:r>
        <w:t>Gemäss Art. 2 Abs. 1 AsylG gewährt die Schweiz Flüchtlingen grundsätzlich Asyl. Wer um Asyl nachsucht, muss gemäss Art. 7 AsylG die Flüchtlingseigenschaft nachweisen oder zumindest glaubhaft machen.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Die Vorinstanz gelangt in der angefochtenen Verfügung zum Schluss, die Vorbringen des Beschwerdeführers würden den Anforderungen an das Glaubhaftmachen gemäss Art. 7 AsylG sowie die Flüchtlingseigenschaft gemäss Art. 3 AsylG nicht standhalten. Der Beschwerdeführer habe keine Nachbarstädte in der Nähe von B._______ nennen können. Sodann würden ihm Kenntnisse zu den grösseren Wasserquellen in Mosul fehlen. Wichtige Bauwerke oder Wahrzeichen von Mosul habe er nicht bezeichnen können. Gewisse Kenntnisse zur Geografie von Mosul besitze er zwar, diese würden aber eklatante Lücken aufweisen. Er habe zwar allgemeine Angaben zu Schulen und öffentlichen Gebäuden im Irak machen können. Indes würden ihm spezifische Kenntnisse zu den Schulen in seiner Umgebung fehlen. Seine Angaben betreffend die Voraussetzungen für einen Schuleintritt seien realitätsfremd. Sodann seien seine Schilderungen über seine Tätigkeit als (...) unglaubhaft. Weder er noch die angeblich berühmten (...), für die er (...) habe, seien der Öffentlichkeit bekannt. Den Namen des einzigen (...), der bekannt sei, habe er für einen Iraker ungewohnt ausgesprochen. Auffallend sei weiter, dass er nichts über Traditionen von Christen wisse und keine Kirche in B._______ habe nennen können, obwohl er in einem christlichen Haushalt aufgewachsen sein soll, zum Christentum übertreten wolle und in einer Kirche in Belgien geheiratet habe. Weiter sei auch aufgrund der Sprach- und Sprechkompetenzen des Beschwerdeführers davon auszugehen, dass er nicht in der Region Mosul aufgewachsen sei. Sein Badini würde Elemente des nordirakischen Sorani beinhalten. Sein Arabisch sei fehlerhaft und stark vom Badini aus dem Nordirak beeinflusst, was typisch für Badini-Sprechende aus dem Nordirak sei, aber unüblich für Personen, die ihr Leben unter Arabern in Mosul verbracht haben wollen. Schliesslich würde er über keine Aramäisch-Kenntnisse verfügen, was indes zu erwarten wäre. Insgesamt sei davon auszugehen, dass er nicht im Gouvernement Mosul, sondern im Nordirak gelebt habe. Es sei offensichtlich, dass der Beschwerdeführer den Schweizer Behörden die Wahrheit über seine Herkunft vorenthalte, um ein Aufenthaltsrecht zu erwirken beziehungsweise einer Wegweisung entgegenzuwirken. Seine Aussagen würden das Resultat der LINGUA-Analyse stützen. Bei der Registrierung seines Asylgesuches habe er H._______, Nordirak, als Herkunftsort angegeben. Bezüglich der Personalien seiner Eltern habe er anlässlich der Registrierung des Asylgesuchs und der Anhörung unterschiedliche Angaben gemacht. Hinsichtlich seines Geburtsdatums habe er sich ebenfalls widersprüchlich geäussert. Einerseits habe er ausgeführt, die Personalien des verstorbenen Kindes seiner Pflegefamilie übernommen zu haben, welches am 21. März 1979 geboren sei. Andererseits habe er beim LINGUA-Gespräch angegeben, sein Geburtsdatum entspreche dem Tag, als er unter einem Baum gefunden worden sei. Dies sei an Newroz gewesen. Im Rahmen des LINGUA-Gesprächs habe er weiter ausgesagt, er habe sieben Jahre bei einer christlichen Familie gelebt. Im Gegensatz dazu habe er anlässlich der Anhörung ausgeführt, er habe zwölf Jahre bei dieser christlichen Familie verbracht. Seinen Ausreise- beziehungsweise Asylgründen würden aufgrund der LINGUA-Analyse die Grundlage entzogen. Trotz Gelegenheit, die angeblichen Probleme detailliert darlegen zu können, seien seine Ausführungen unglaubhaft, ausweichend, widersprüchlich, unsubstantiiert und teilweise realitätsfremd ausgefallen. Seine Vorwürfe, wonach die Schweizer Behörden ihn nicht korrekt behandeln, ihm den Zugang zur notwendigen Medizin verweigern würden, und ihm anlässlich der Anhörung eine Pause verweigert worden sei, obwohl er sich nicht wohl gefühlt habe, seien haltlos.</w:t>
      </w:r>
    </w:p>
    <w:p>
      <w:r>
        <w:rPr>
          <w:b/>
        </w:rPr>
        <w:t>E. 5.2</w:t>
      </w:r>
    </w:p>
    <w:p>
      <w:r>
        <w:t>In der Rechtsmitteleingabe setzt sich der Beschwerdeführer mit den Erwägungen, wonach seine Vorbringen den Anforderungen an das Glaubhaftmachen nicht genügen würden, nicht ansatzweise auseinander. Diesbezüglich rügt er somit keine Rechtsverletzung, obwohl ihm eine rechtliche Auseinandersetzung mit der angefochtenen Verfügung möglich gewesen wäre (vgl. vorstehend E. 3). Die vorinstanzliche Beweiswürdigung ist denn auch nicht zu beanstanden. Die Vorinstanz hat ausführlich dargelegt, aus welchen Gründen sie die geltend gemachte Herkunft des Beschwerdeführers sowie seine Asylgründe als unglaubhaft erachtet. Eine Verletzung im Sinne von Art. 106 Abs. 1 AsylG lässt sich den Akten nicht entnehmen. Um Wiederholungen zu vermeiden, kann auf die zutreffenden Erwägungen in der angefochtenen verwiesen werden. Die Vorinstanz hat das Asylgesuch des Beschwerdeführers zu Recht abgelehnt.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Im Grundsatz sind Zulässigkeit, Zumutbarkeit und Möglichkeit des Vollzugs von Amtes wegen zu prüfen. Diese Untersuchungspflicht findet ihre Grenzen nach Treu und Glauben jedoch an der Mitwirkungspflicht des Asylsuchenden, welche insbesondere die Pflicht umfasst, sich an der Feststellung des Sachverhalts zu beteiligen (Art. 8 AsylG). Wie vorstehend dargelegt, ist die geltend gemachte Herkunft des Beschwerdeführers aus Mosul nicht glaubhaft. Auf die entsprechenden Ausführungen in der Rechtsmitteleingabe ist daher nicht weiter einzugehen. Mit der Vorinstanz ist indes davon auszugehen, dass der Beschwerdeführer aus einer der vier von der kurdischen Regionalregierung kontrollierten nordirakischen Provinzen Dohuk, Erbil Halabdscha und Suleimaniya stammt (vgl. dazu: Referenzurteil des BVGer E-3737/2015 vom 14. Dezember 2015). Die Durchführbarkeit des Vollzugs der Wegweisung ist daher unter diesem Aspekt zu prüfen.</w:t>
      </w:r>
    </w:p>
    <w:p>
      <w:r>
        <w:rPr>
          <w:b/>
        </w:rPr>
        <w:t>E. 7.3</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in die kurdischen Gebiete des Nordiraks dort mit beachtlicher Wahrscheinlichkeit einer nach Art. 3 EMRK oder Art. 1 FoK verbotenen Strafe oder Behandlung ausgesetzt wäre. Auch die allgemeine Menschenrechtssituation lässt den Vollzug der Wegweisung nicht als unzulässig erscheinen. Der Vollzug der Wegweisung ist zulässig.</w:t>
      </w:r>
    </w:p>
    <w:p>
      <w:r>
        <w:rPr>
          <w:b/>
        </w:rPr>
        <w:t>E. 7.4.1</w:t>
      </w:r>
    </w:p>
    <w:p>
      <w:r>
        <w:t>Nach Art. 83 Abs. 4 AuG kann der Vollzug für Ausländerinnen und Ausländer unzumutbar sein, wenn sie im Heimat- oder Herkunftsstaat auf Grund von Situationen wie Krieg, Bürgerkrieg, allgemeiner Gewalt und medizinischer Notlage konkret gefährdet sind. Nach konstanter Rechtsprechung des Bundesverwaltungsgerichts kann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w:t>
      </w:r>
    </w:p>
    <w:p>
      <w:r>
        <w:rPr>
          <w:b/>
        </w:rPr>
        <w:t>E. 7.4.2</w:t>
      </w:r>
    </w:p>
    <w:p>
      <w:r>
        <w:t>Der Beschwerdeführer macht geltend, er leide an einer (...) sowie chronischen Kopfschmerzen. Die von ihm benötigten Medikamente ([...]) seien in seiner Herkunftsregion nicht oder nur schwer erhältlich. Mangels geeigneten Institutionen beziehungsweise aufgrund seiner durch die (...) bedingten Arbeitsunfähigkeit könne er weder die Therapien noch die Medikamente bezahlen.</w:t>
      </w:r>
    </w:p>
    <w:p>
      <w:r>
        <w:rPr>
          <w:b/>
        </w:rPr>
        <w:t>E. 7.4.3</w:t>
      </w:r>
    </w:p>
    <w:p>
      <w:r>
        <w:t>Der letzte eingereichte Arztbericht datiert vom 22. Juni 2016. Im Rahmen der bereits vorstehend erwähnten Mitwirkungspflicht (Art. 8 Asyl) wäre es dem anwaltlich vertretene Beschwerdeführer oblegen, aktuelle Unterlagen zu seinem Gesundheitszustand einzureichen. Auf die Nachforderung solcher kann vorliegend indes verzichtet werden. Aus dem undatierten Schreiben (Eingang Gericht: 1. November 2017) und jenem vom 15. Januar 2018 des Beschwerdeführers ist zu schliessen, dass sich dessen Gesundheitszustand nicht weiter verändert hat, mithin kann auf die vorliegenden Arztberichte abgestützt werden.</w:t>
      </w:r>
    </w:p>
    <w:p>
      <w:r>
        <w:rPr>
          <w:b/>
        </w:rPr>
        <w:t>E. 7.4.4</w:t>
      </w:r>
    </w:p>
    <w:p>
      <w:r>
        <w:t>Soweit der Beschwerdeführer als Beleg für die Unzumutbarkeit des Wegweisungsvollzugs auf eine Individualanfrage an die IOM-Verbindungsstelle bei der Regierung der Bundesrepublik Deutschland vom 11. Juni 2014 verweist, ist festzustellen, dass diese bereits über drei Jahre alt ist, sich auf Erbil als Zielort sowie auf eine andere Person als den Beschwerdeführer bezieht. Insofern vermag er aus diesem Beweismittel nichts zu seinen Gunsten abzuleiten.</w:t>
      </w:r>
    </w:p>
    <w:p>
      <w:r>
        <w:rPr>
          <w:b/>
        </w:rPr>
        <w:t>E. 7.4.5</w:t>
      </w:r>
    </w:p>
    <w:p>
      <w:r>
        <w:t>In der angefochtenen Verfügung hat die Vorinstanz ausführlich dargelegt, über welche Möglichkeiten der Beschwerdeführer in den kurdischen Gebieten des Nordirak in Bezug auf seine gesundheitliche und medizinische Versorgung verfügt. Da er seine wahre Herkunft den Schweizer Behörden offensichtlich vorenthält, können keine konkreten Abklärungen in Bezug auf die medizinische Versorgung in seinem Herkunftsort gemacht werden. Generell ist festzuhalten, dass die vom Beschwerdeführer benötigten Medikamente ([...]) im Nordirak erhältlich sind. Für (...) sowie (...) sind die Ersatzmedikamente (...) sowie (...) verfügbar. Sodann besteht für den Beschwerdeführer die Möglichkeit, sich in H._______ ambulant oder allenfalls auch stationär behandeln zu lassen. Mit Blick auf eine Rückkehr in die Heimat hat der Beschwerdeführer sodann die Möglichkeit, sich zusammen mit dem ihn bereits betreuenden Arzt gezielt auf einen Vollzug der Wegweisung vorzubereiten und dabei auch den seinerzeit im Zusammenhang mit dem Erhalt der angefochtenen Verfügung begangenen Suizidversuch zu thematisieren. Zudem ist darauf hinzuweisen, dass der Beschwerdeführer im Rahmen der individuellen Rückkehrhilfe die Möglichkeit hat, zusätzliche medizinische Hilfeleistungen zu beantragen (vgl. Art. 75 der Asylverordnung 2 vom 11. August 1999 [AsylV 2, SR 142.312]). Insgesamt liegt somit keine medizinische Notlage im Sinne der Rechtsprechung vor, welche den Vollzug der Wegweisung als nicht zumutbar erscheinen liesse.</w:t>
      </w:r>
    </w:p>
    <w:p>
      <w:r>
        <w:rPr>
          <w:b/>
        </w:rPr>
        <w:t>E. 7.4.6</w:t>
      </w:r>
    </w:p>
    <w:p>
      <w:r>
        <w:t>Mit der Vorinstanz sowie aufgrund der Verheimlichung seiner tatsächlichen Herkunft ist schliesslich davon auszugehen, dass der Beschwerdeführer im Nordirak über ein soziales Umfeld verfügt, das ihn bei einer Rückkehr sowohl bezüglich Unterkunft als auch finanziell unterstützen kann. Trotz seiner gesundheitlichen Beeinträchtigung ist weiter davon auszugehen, dass es dem Beschwerdeführer möglich sein wird, sich auch wirtschaftlich wieder zu integrieren. Gemäss seinen Angaben hat er das (...) besucht und eine Ausbildung in einem (...) begonnen, diese aber nicht abschliessen können (vgl. SEM-Akten A28/20 F46 und 48). Sodann gab er an, ein bis zwei Jahre für ein (...) sowie in den Jahren 2005/2006 für die Organisation (...) gearbeitet zu haben (vgl. SEM-Akten A28/20 F44 ff.). Zudem spricht er gemäss seinen eigenen Angaben neben seiner Muttersprache (...), perfekt (...), sehr gut (...),(...),(...) und (...) sowie gut (...) und (...) (vgl. SEM-Akten A28/20 F20).</w:t>
      </w:r>
    </w:p>
    <w:p>
      <w:r>
        <w:rPr>
          <w:b/>
        </w:rPr>
        <w:t>E. 7.4.7</w:t>
      </w:r>
    </w:p>
    <w:p>
      <w:r>
        <w:t>Insgesamt ist nicht davon auszugehen, dass der Beschwerdeführer bei einer Rückkehr in den Irak in eine existentielle Notlage geraten wird. Somit liegen keine individuellen Gründe vor, die gegen den Wegweisungsvollzugs sprechen würden. Der Vollzug der Wegweisung ist zumutbar.</w:t>
      </w:r>
    </w:p>
    <w:p>
      <w:r>
        <w:rPr>
          <w:b/>
        </w:rPr>
        <w:t>E. 7.5</w:t>
      </w:r>
    </w:p>
    <w:p>
      <w:r>
        <w:t>Es obliegt dem Beschwerdeführer, sich bei der zuständigen Vertretung seines Heimatstaates die für eine Rückkehr notwendige Reisedokumente zu beschaffen (vgl. Art. 8 Abs. 4 AsylG und dazu auch BVGE 2014/39 E. 9.5 S. 703). Der Vollzug der Wegweisung ist somit auch als möglich zu bezeichnen (Art. 83 Abs. 2 AuG).</w:t>
      </w:r>
    </w:p>
    <w:p>
      <w:r>
        <w:rPr>
          <w:b/>
        </w:rPr>
        <w:t>E. 7.6</w:t>
      </w:r>
    </w:p>
    <w:p>
      <w:r>
        <w:t>Die Vorinstanz hat den Vollzug demnach zu Recht als zulässig, zumutbar und möglich erachtet. Damit fällt die Anordnung einer vorläufigen Aufnahme ausser Betracht (Art. 83 Abs. 1-4 AuG).</w:t>
      </w:r>
    </w:p>
    <w:p>
      <w:r>
        <w:rPr>
          <w:b/>
        </w:rPr>
        <w:t>E. 8</w:t>
      </w:r>
    </w:p>
    <w:p>
      <w:r>
        <w:t>Aus diesen Erwägungen ergibt sich, dass die angefochtene Verfügung Bundesrecht nicht verletzt und auch sonst nicht zu beanstanden ist (Art. 106 AsylG sowie Art. 49 VwVG). Die Beschwerde ist abzuweisen.</w:t>
      </w:r>
    </w:p>
    <w:p>
      <w:r>
        <w:rPr>
          <w:b/>
        </w:rPr>
        <w:t>E. 9</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Der am 4. Januar 2017 geleistete Kostenvorschuss von Fr. 600.-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