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E-7581/2014 vom 7. Januar 2015</w:t>
      </w:r>
    </w:p>
    <w:p>
      <w:r>
        <w:t>Bundesverwaltungsgericht, 2015-01-07, DE</w:t>
      </w:r>
    </w:p>
    <w:p>
      <w:r>
        <w:rPr>
          <w:b/>
        </w:rPr>
        <w:t xml:space="preserve">Quelle: </w:t>
      </w:r>
      <w:r>
        <w:t>https://mcp.opencaselaw.ch/entscheid/bvger_E-7581_2014</w:t>
      </w:r>
    </w:p>
    <w:p>
      <w:r>
        <w:t>FR: TAF E-7581/2014 du 7 janvier 2015</w:t>
      </w:r>
    </w:p>
    <w:p>
      <w:r>
        <w:t>IT: TAF E-7581/2014 del 7 gennaio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w:t>
      </w:r>
    </w:p>
    <w:p>
      <w:r>
        <w:rPr>
          <w:b/>
        </w:rPr>
        <w:t>E. 3.4</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2. Dezember 2014 an Italien übergegangen.</w:t>
      </w:r>
    </w:p>
    <w:p>
      <w:r>
        <w:rPr>
          <w:b/>
        </w:rPr>
        <w:t>E. 4.2</w:t>
      </w:r>
    </w:p>
    <w:p>
      <w:r>
        <w:t>Der Wunsch des Beschwerdeführers nach einem weiteren Verbleib in der Schweiz habe keinen Einfluss auf die Zuständigkeit für das Asyl- und Wegweisungsverfahren, da es grundsätzlich nicht Sache der betroffenen Person sei, den für ihr Asylverfahren zuständigen Staat selber zu bestimmen. Die Bestimmung des zuständigen Staates obliege allein den beteiligten Dublin-Staaten. Italien sei sowohl Signatarstaat des Abkommens vom 28. Juli 1951 über die Rechtsstellung der Flüchtlinge (FK, SR 0.142.30) als auch der EMRK. Es würden keine konkreten Anhaltspunkte dafür vorliegen, dass sich Italien nicht an seine völkerrechtlichen Verpflichtungen halten würde.</w:t>
      </w:r>
    </w:p>
    <w:p>
      <w:r>
        <w:rPr>
          <w:b/>
        </w:rPr>
        <w:t>E. 5.1</w:t>
      </w:r>
    </w:p>
    <w:p>
      <w:r>
        <w:t>In der Rechtsmitteleingabe macht der Beschwerdeführer geltend, er sei in Italien nie offiziell registriert worden, weshalb Italien für sein Verfahren nicht zuständig sei.</w:t>
      </w:r>
    </w:p>
    <w:p>
      <w:r>
        <w:rPr>
          <w:b/>
        </w:rPr>
        <w:t>E. 5.2</w:t>
      </w:r>
    </w:p>
    <w:p>
      <w:r>
        <w:t>Gemäss seinen eigenen Angaben hat der Beschwerdeführer auf dem Seeweg von B._______ kommend zuerst den Dublin-Mitgliedstaat Italien erreicht, dies ohne gültigen Einreisetitel und somit illegal. Von Italien aus reiste er in die Schweiz ein. Bei dieser Sachlage ist gemäss Art. 13 Abs. 1 Dublin-III-VO Italien für die Prüfung des Asylantrages des Beschwerdeführers zuständig. Dabei verlangt die vorgenannte Bestimmung nicht, dass der Betroffene im zuerst erreichten Dublin-Mitgliedstaat ein Asylgesuch eingereicht hat und / oder daktyloskopisch erfasst wurde. Vielmehr genügen für die Annahme der Zuständigkeit Indizien, wie eine illegale Einreise. Weiter ist festzustellen, dass Italien das Ersuchen der Vorinstanz um Aufnahme des Beschwerdeführers innert der gesetzlichen Frist von zwei Monaten nicht beantwortet hat. Damit hat Italien seine Zuständigkeit aufgrund der sogenannten Verfristung akzeptiert (Art. 22 Abs. 1 und 7 Dublin-III-VO). Der Beschwerdeführer vermag somit aus seinem Einwand, er sei in Italien nie offiziell registriert worden, nichts zu seinen Gunsten abzuleiten.</w:t>
      </w:r>
    </w:p>
    <w:p>
      <w:r>
        <w:rPr>
          <w:b/>
        </w:rPr>
        <w:t>E. 5.3</w:t>
      </w:r>
    </w:p>
    <w:p>
      <w:r>
        <w:t>Italien ist Signatarstaat FK, der EMRK und der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Es obliegt dem Beschwerdeführer, diese Vermutung umzustossen. Dabei hat er ernsthafte Anhaltspunkte vorzubringen, dass die italienischen Behörden in seinem Fall das Völkerrecht verletzen und ihm nicht den notwendigen Schutz gewähren oder ihn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der Beschwerdeführer in der Rechtsmitteleingabe nicht geltend und ist aufgrund der Akten auch nicht ersichtlich.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 III-Verordnung, Wien/Graz 2014, Art. 17 K5 S. 159). Aus blossen Problemen im Bereich der Aufnahmebedingungen für Asylsuchende lässt sich noch nicht auf eine systematische Verletzung der Aufnahmerichtlinie schliessen.</w:t>
      </w:r>
    </w:p>
    <w:p>
      <w:r>
        <w:rPr>
          <w:b/>
        </w:rPr>
        <w:t>E. 5.4</w:t>
      </w:r>
    </w:p>
    <w:p>
      <w:r>
        <w:t>Zusammenfassend liegen somit keine Gründe vor, welche eine Überstellung des Beschwerdeführers nach Italien als unzulässig oder unzumutbar erscheinen liessen und es besteht auch keine Veranlassung für einen Selbsteintritt der Schweiz.</w:t>
      </w:r>
    </w:p>
    <w:p>
      <w:r>
        <w:rPr>
          <w:b/>
        </w:rPr>
        <w:t>E. 6.1</w:t>
      </w:r>
    </w:p>
    <w:p>
      <w:r>
        <w:t>Italien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Italien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