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E-7579/2016 vom 20. Dezember 2016</w:t>
      </w:r>
    </w:p>
    <w:p>
      <w:r>
        <w:t>Bundesverwaltungsgericht, 2016-12-20, DE</w:t>
      </w:r>
    </w:p>
    <w:p>
      <w:r>
        <w:rPr>
          <w:b/>
        </w:rPr>
        <w:t xml:space="preserve">Quelle: </w:t>
      </w:r>
      <w:r>
        <w:t>https://mcp.opencaselaw.ch/entscheid/bvger_E-7579_2016</w:t>
      </w:r>
    </w:p>
    <w:p>
      <w:r>
        <w:t>FR: TAF E-7579/2016 du 20 décembre 2016</w:t>
      </w:r>
    </w:p>
    <w:p>
      <w:r>
        <w:t>IT: TAF E-7579/2016 del 20 dicembre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Der Beschwerdeführer beziehungsweise sein Rechtsvertreter ersucht um Gewährung einer Nachfrist von 15 Tagen zur Ergänzung der Beschwerde. Das Gesuch wird damit begründet, das "dossier complet du recourant", welches er bei der Vorinstanz beantragt habe, sei ihm noch nicht zugestellt worden. Der Beschwerde liegt indes das Zweitbefragungsprotokoll bei, was zeigt, dass dem Beschwerdeführer die editionspflichtigen Akten vorliegen müssen. Diese wurden ihm bereits zusammen mit der vorinstanzlichen Verfügung zugestellt (angefochtene Verfügung S. 10). Dass eine sachgerechte Anfechtung möglich war, zeigt die Beschwerde selbst. Der Rechtsvertreter war offensichtlich nicht der Ansicht, die Akten seien unvollständig zugestellt worden, ansonsten er umgehend hätte remonstrieren müssen, was nicht geschehen ist (Urteil BVGer E-1670/2014 vom 14. April 2014 E. 5.4). Eine Verletzung der Akteneinsicht wird auch nicht gerügt. Eine ergänzende Beschwerdeschrift ist nur dann zu gestatten, wenn es der aussergewöhnliche Umfang oder die besondere Schwierigkeit einer Beschwerdesache erfordert (Art. 53 VwVG). Da die gesetzlichen Voraussetzungen zur Beschwerdeergänzung offensichtlich nicht gegeben sind, ist der prozessuale Antrag abzuweisen.</w:t>
      </w:r>
    </w:p>
    <w:p>
      <w:r>
        <w:rPr>
          <w:b/>
        </w:rPr>
        <w:t>E. 3.1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3.2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4.3</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4.4</w:t>
      </w:r>
    </w:p>
    <w:p>
      <w:r>
        <w:t>Asylsuchende sind verpflichtet, an der Feststellung des Sachverhalts mitzuwirken. Sie müssen sich während des Verfahrens den Behörden von Bund und Kantonen zur Verfügung halten (Art. 8 AsylG und Art. 2a Asylverordnung 1 über Verfahrensfragen [Asylverordnung 1, AsylV 1, SR 142.311]). Die verwaltungsrechtliche Offizialmaxime findet unter anderem ihre Grenzen an der Mitwirkungspflicht (Art. 8 AsylG, vgl. BVGE 2014/12 E. 6 S. 213 f.).</w:t>
      </w:r>
    </w:p>
    <w:p>
      <w:r>
        <w:rPr>
          <w:b/>
        </w:rPr>
        <w:t>E. 5</w:t>
      </w:r>
    </w:p>
    <w:p>
      <w:r>
        <w:t>Die Vorinstanz hat den Massstab des Glaubhaftmachens nicht verkannt und auf den vorliegenden Fall korrekt angewendet. Ihre Schlussfolgerungen sind weder in tatsächlicher noch in rechtlicher Hinsicht zu beanstanden. In der angefochtenen Verfügung wird einlässlich begründet, weshalb die Aussagen widersprüchlich und unglaubhaft ausgefallen sind. Die Rechtsmitteleingabe erschöpft sich in spärlichen Erklärungsversuchen, womit sie nicht aufzeigt, inwiefern die vorinstanzliche Beweiswürdigung Bundesrecht verletzen oder zu einer rechtsfehlerhaften Sachverhaltsfeststellung führen soll. Solches ist auch nicht ersichtlich. So fehlt es an einem zeitlichen Kausalzusammenhang zwischen der angeblichen Flucht aus Tunesien im Jahr 2005 und dem Asylgesuch des Beschwerdeführers im Jahr 2014, was darauf schliessen lässt, dass keine flüchtlingsrelevanten Gründe vorliegen. Diese Vermutung wird durch das häufige Untertauchen des Beschwerdeführers während seines Asylverfahrens untermauert (SEM-Akten, A54, A37, A26, A24; Verstoss gegen die Mitwirkungspflicht aus Art. 8 Abs. 3 AsylG). Damit ist der Glaubhaftigkeit der Fluchtgeschichte und insbesondere der Glaubwürdigkeit des Beschwerdeführers bereits der Boden entzogen. Hinzu kommt, dass anfänglich im Asylverfahren gemachte zentrale Angaben diametral von späteren Ausführungen abweichen (beispielswiese Zeitangaben betreffend Indoktrinierung und Rekrutierung [SEM-Akten, A7, S. 7; A71, S. 5, F41, S. 6 f., F47 und F51 ff.], Angaben zur Auseinandersetzung mit Schussverletzung am Bein [SEM-Akten, A71, S. 5, F39, S. 10, F87 und F93], zu den angeblichen Verfolgern in Frankreich [SEM-Akten, A7, S. 6; A71, S. 10 f., F90 und F111], ferner Angaben zum Todeszeitpunkt seines Bruders [SEM-Akten, A71, S. 4, F33, S. 9, F74]). Die gravierenden Widersprüche erschüttern die Glaubhaftigkeit seiner Vorbringen vollends. Die Beschwerdeausführungen sind nicht geeignet, am Beweisergebnis etwas zu ändern. So lässt beispielsweise eine Schussverletzung am Bein nicht auf eine Verfolgung durch Dschihadisten schliessen (Beschwerde S. 5). Ebenso geht die pauschale Erklärung ins Leere, die tunesische Polizei biete keinerlei Schutz (Beschwerde S. 6), zumal die Nichtanzeigeerstattung nicht dem Staat als unterlassene Hilfeleistung respektive mangelnder Schutzwille angelastet werden kann. Um Wiederholungen zu vermeiden, ist auf die zutreffenden und ausführlichen Erwägungen der Vorinstanz zu verweisen, die das Asylgesuch zu Recht abgelehnt hat. Für eine Rückweisung an diese gibt es nach dem Gesagten keinen Anlass.</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der Beschwerde noch aus den Akten ergeben sich konkrete Anhaltspunkte dafür, dass der Beschwerdeführer für den Fall einer Ausschaffung in sein Heimatland dort mit beachtlicher Wahrscheinlichkeit einer nach Art. 3 EMRK oder Art. 1 FoK verbotenen Strafe oder Behandlung ausgesetzt wäre. Der Vollzug der Wegweisung ist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In Tunesien herrscht keine Situation von Krieg, Bürgerkrieg oder allgemeiner Gewalt. Es liegen auch keine individuellen Wegweisungshindernisse vor, die auf eine Unzumutbarkeit des Wegweisungsvollzugs des jungen und grundsätzlich gesunden Beschwerdeführers in seine Heimat schliessen lassen würden. Im Übrigen ist aufgrund des Verhaltens des Beschwerdeführers (hierzu E. 5) davon auszugehen, einer Wegweisung stünden keine Vollzugshindernisse im gesetzlichen Sinne entgegen (vgl. BVGE 2014/12 E. 6, Urteil BVGer E-2450/2014 vom 22. Mai 2014). Der Vollzug der Wegweisung ist zumutbar.</w:t>
      </w:r>
    </w:p>
    <w:p>
      <w:r>
        <w:rPr>
          <w:b/>
        </w:rPr>
        <w:t>E. 7.4</w:t>
      </w:r>
    </w:p>
    <w:p>
      <w:r>
        <w:t>Nach Art. 83 Abs. 2 AuG ist der Vollzug auch als möglich zu bezeichnen, weil es dem Beschwerdeführer obliegt, sich die für eine Rückkehr notwendigen Reisedokumente - sofern notwendig - bei der zuständigen Vertretung seines Heimatstaats zu beschaffen (Art. 8 Abs. 4 AsylG und dazu BVGE 2008/34 E. 12). Der Vollzug der Wegweisung ist möglich.</w:t>
      </w:r>
    </w:p>
    <w:p>
      <w:r>
        <w:rPr>
          <w:b/>
        </w:rPr>
        <w:t>E. 7.5</w:t>
      </w:r>
    </w:p>
    <w:p>
      <w:r>
        <w:t>Die Vorinstanz hat den Vollzug demnach zu Recht als zulässig, zumutbar und möglich erachtet. Damit fällt die Anordnung einer vorläufigen Aufnahme ausser Betracht (Art. 83 Abs. 1-4 AuG). Der Eventualantrag - es sei der Vollzug der Wegweisung zu sistieren und die vorläufige Aufnahme anzuordnen - ist abzuweisen, soweit er mit vorliegendem Urteil nicht gegenstandslos geworden ist.</w:t>
      </w:r>
    </w:p>
    <w:p>
      <w:r>
        <w:rPr>
          <w:b/>
        </w:rPr>
        <w:t>E. 8</w:t>
      </w:r>
    </w:p>
    <w:p>
      <w:r>
        <w:t>Aus diesen Erwägungen ergibt sich, dass die angefochtene Verfügung Bundesrecht nicht verletzt und auch sonst nicht zu beanstanden ist (Art. 106 AsylG). Die Beschwerde ist abzuweisen.</w:t>
      </w:r>
    </w:p>
    <w:p>
      <w:r>
        <w:rPr>
          <w:b/>
        </w:rPr>
        <w:t>E. 9.1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9.2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